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ADBE5" w14:textId="274034D9" w:rsidR="007731A7" w:rsidRDefault="00B45B57" w:rsidP="00247413">
      <w:pPr>
        <w:rPr>
          <w:rFonts w:cs="Times New Roman"/>
          <w:sz w:val="28"/>
          <w:szCs w:val="28"/>
        </w:rPr>
      </w:pPr>
      <w:bookmarkStart w:id="0" w:name="_Hlk223515614"/>
      <w:r>
        <w:rPr>
          <w:rFonts w:cs="Times New Roman"/>
          <w:b/>
          <w:bCs/>
          <w:color w:val="000000" w:themeColor="text1"/>
          <w:sz w:val="28"/>
          <w:szCs w:val="28"/>
        </w:rPr>
        <w:t>К</w:t>
      </w:r>
      <w:bookmarkStart w:id="1" w:name="_GoBack"/>
      <w:bookmarkEnd w:id="1"/>
      <w:r w:rsidR="00C06921">
        <w:rPr>
          <w:rFonts w:cs="Times New Roman"/>
          <w:b/>
          <w:bCs/>
          <w:color w:val="000000" w:themeColor="text1"/>
          <w:sz w:val="28"/>
          <w:szCs w:val="28"/>
        </w:rPr>
        <w:t xml:space="preserve">раткие </w:t>
      </w:r>
      <w:r w:rsidR="00115ED6">
        <w:rPr>
          <w:rFonts w:cs="Times New Roman"/>
          <w:b/>
          <w:bCs/>
          <w:color w:val="000000" w:themeColor="text1"/>
          <w:sz w:val="28"/>
          <w:szCs w:val="28"/>
        </w:rPr>
        <w:t xml:space="preserve">результаты  </w:t>
      </w:r>
      <w:r w:rsidR="007731A7" w:rsidRPr="007E3764">
        <w:rPr>
          <w:rFonts w:cs="Times New Roman"/>
          <w:b/>
          <w:bCs/>
          <w:color w:val="000000" w:themeColor="text1"/>
          <w:sz w:val="28"/>
          <w:szCs w:val="28"/>
        </w:rPr>
        <w:t xml:space="preserve">в 2025 году </w:t>
      </w:r>
      <w:r w:rsidR="00247413">
        <w:rPr>
          <w:rFonts w:cs="Times New Roman"/>
          <w:b/>
          <w:bCs/>
          <w:color w:val="000000" w:themeColor="text1"/>
          <w:sz w:val="28"/>
          <w:szCs w:val="28"/>
        </w:rPr>
        <w:t xml:space="preserve">по  теме </w:t>
      </w:r>
      <w:r w:rsidR="00C06921" w:rsidRPr="007E3764">
        <w:rPr>
          <w:rFonts w:cs="Times New Roman"/>
          <w:b/>
          <w:bCs/>
          <w:color w:val="000000" w:themeColor="text1"/>
          <w:sz w:val="28"/>
          <w:szCs w:val="28"/>
        </w:rPr>
        <w:t>НИР</w:t>
      </w:r>
      <w:r w:rsidR="00C06921" w:rsidRPr="00247413">
        <w:rPr>
          <w:rFonts w:cs="Times New Roman"/>
          <w:color w:val="000000" w:themeColor="text1"/>
          <w:sz w:val="28"/>
          <w:szCs w:val="28"/>
        </w:rPr>
        <w:t xml:space="preserve"> </w:t>
      </w:r>
      <w:bookmarkEnd w:id="0"/>
      <w:r w:rsidR="00247413" w:rsidRPr="00247413">
        <w:rPr>
          <w:rFonts w:cs="Times New Roman"/>
          <w:color w:val="000000" w:themeColor="text1"/>
          <w:sz w:val="28"/>
          <w:szCs w:val="28"/>
        </w:rPr>
        <w:t>«</w:t>
      </w:r>
      <w:r w:rsidR="00247413" w:rsidRPr="00247413">
        <w:rPr>
          <w:rFonts w:eastAsia="Times New Roman"/>
          <w:sz w:val="28"/>
          <w:szCs w:val="28"/>
          <w:lang w:eastAsia="ru-RU"/>
        </w:rPr>
        <w:t>Разработка эффективных технологий добычи угля роботизированными горнодобывающими комплексами без постоянного присутствия людей в зонах ведения горных работ, систем управления и методов оценки технического состояния и диагностики их ресурса и обоснование обеспечения воспроизводства минерально-сырьевой базы</w:t>
      </w:r>
      <w:r w:rsidR="00247413">
        <w:rPr>
          <w:rFonts w:eastAsia="Times New Roman"/>
          <w:sz w:val="28"/>
          <w:szCs w:val="28"/>
          <w:lang w:eastAsia="ru-RU"/>
        </w:rPr>
        <w:t>»</w:t>
      </w:r>
      <w:r w:rsidR="007731A7" w:rsidRPr="00247413">
        <w:rPr>
          <w:rFonts w:cs="Times New Roman"/>
          <w:sz w:val="28"/>
          <w:szCs w:val="28"/>
        </w:rPr>
        <w:t>.</w:t>
      </w:r>
    </w:p>
    <w:p w14:paraId="65D9E5AB" w14:textId="734CBEBD" w:rsidR="00C206A6" w:rsidRDefault="00C206A6" w:rsidP="00247413">
      <w:pPr>
        <w:rPr>
          <w:rFonts w:cs="Times New Roman"/>
          <w:sz w:val="28"/>
          <w:szCs w:val="28"/>
        </w:rPr>
      </w:pPr>
    </w:p>
    <w:p w14:paraId="623E4EE5" w14:textId="5491C60B" w:rsidR="00C206A6" w:rsidRPr="00C206A6" w:rsidRDefault="00C206A6" w:rsidP="00C206A6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C206A6">
        <w:rPr>
          <w:rFonts w:cs="Times New Roman"/>
          <w:b/>
          <w:bCs/>
          <w:sz w:val="28"/>
          <w:szCs w:val="28"/>
        </w:rPr>
        <w:t>Оценка остаточного ресурса эксплуатации сложных технических систем</w:t>
      </w:r>
    </w:p>
    <w:p w14:paraId="53B737AD" w14:textId="644703F1" w:rsidR="00C206A6" w:rsidRDefault="00C206A6" w:rsidP="00247413">
      <w:pPr>
        <w:rPr>
          <w:rFonts w:cs="Times New Roman"/>
          <w:sz w:val="28"/>
          <w:szCs w:val="28"/>
        </w:rPr>
      </w:pPr>
      <w:r w:rsidRPr="00C206A6">
        <w:rPr>
          <w:rFonts w:cs="Times New Roman"/>
          <w:sz w:val="28"/>
          <w:szCs w:val="28"/>
        </w:rPr>
        <w:t>Авторы: д.т.н.</w:t>
      </w:r>
      <w:r w:rsidR="00C06921">
        <w:rPr>
          <w:rFonts w:cs="Times New Roman"/>
          <w:sz w:val="28"/>
          <w:szCs w:val="28"/>
        </w:rPr>
        <w:t xml:space="preserve"> </w:t>
      </w:r>
      <w:proofErr w:type="spellStart"/>
      <w:r w:rsidRPr="00C206A6">
        <w:rPr>
          <w:rFonts w:cs="Times New Roman"/>
          <w:sz w:val="28"/>
          <w:szCs w:val="28"/>
        </w:rPr>
        <w:t>Герике</w:t>
      </w:r>
      <w:proofErr w:type="spellEnd"/>
      <w:r w:rsidRPr="00C206A6">
        <w:rPr>
          <w:rFonts w:cs="Times New Roman"/>
          <w:sz w:val="28"/>
          <w:szCs w:val="28"/>
        </w:rPr>
        <w:t xml:space="preserve"> Б.Л., к.т.н. </w:t>
      </w:r>
      <w:proofErr w:type="spellStart"/>
      <w:r w:rsidRPr="00C206A6">
        <w:rPr>
          <w:rFonts w:cs="Times New Roman"/>
          <w:sz w:val="28"/>
          <w:szCs w:val="28"/>
        </w:rPr>
        <w:t>Герике</w:t>
      </w:r>
      <w:proofErr w:type="spellEnd"/>
      <w:r w:rsidRPr="00C206A6">
        <w:rPr>
          <w:rFonts w:cs="Times New Roman"/>
          <w:sz w:val="28"/>
          <w:szCs w:val="28"/>
        </w:rPr>
        <w:t xml:space="preserve"> П.Б., </w:t>
      </w:r>
      <w:proofErr w:type="spellStart"/>
      <w:r w:rsidRPr="00C206A6">
        <w:rPr>
          <w:rFonts w:cs="Times New Roman"/>
          <w:sz w:val="28"/>
          <w:szCs w:val="28"/>
        </w:rPr>
        <w:t>Швыдкин</w:t>
      </w:r>
      <w:proofErr w:type="spellEnd"/>
      <w:r w:rsidRPr="00C206A6">
        <w:rPr>
          <w:rFonts w:cs="Times New Roman"/>
          <w:sz w:val="28"/>
          <w:szCs w:val="28"/>
        </w:rPr>
        <w:t xml:space="preserve"> С.А.</w:t>
      </w:r>
    </w:p>
    <w:p w14:paraId="2564945F" w14:textId="77777777" w:rsidR="00C206A6" w:rsidRPr="00C206A6" w:rsidRDefault="00C206A6" w:rsidP="00C206A6">
      <w:pPr>
        <w:rPr>
          <w:rFonts w:cs="Times New Roman"/>
          <w:sz w:val="28"/>
          <w:szCs w:val="28"/>
        </w:rPr>
      </w:pPr>
      <w:r w:rsidRPr="00C206A6">
        <w:rPr>
          <w:rFonts w:cs="Times New Roman"/>
          <w:sz w:val="28"/>
          <w:szCs w:val="28"/>
        </w:rPr>
        <w:t xml:space="preserve">Предлагаемое решение задачи оценки остаточного ресурса сложных технических систем учитывает вектор технических параметров состояния объекта, внешние условия эксплуатации в текущий момент времени, изменение вектора режима эксплуатации за рассматриваемый период, результаты диагностики. </w:t>
      </w:r>
    </w:p>
    <w:p w14:paraId="1E9CC73F" w14:textId="66CB40D5" w:rsidR="00C206A6" w:rsidRDefault="00C206A6" w:rsidP="00C206A6">
      <w:pPr>
        <w:rPr>
          <w:rFonts w:cs="Times New Roman"/>
          <w:sz w:val="28"/>
          <w:szCs w:val="28"/>
        </w:rPr>
      </w:pPr>
      <w:r w:rsidRPr="00C206A6">
        <w:rPr>
          <w:rFonts w:cs="Times New Roman"/>
          <w:sz w:val="28"/>
          <w:szCs w:val="28"/>
        </w:rPr>
        <w:t xml:space="preserve">Для формирования единого диагностического критерия по множеству имеющихся диагностических признаков предлагается алгоритм оптимальной </w:t>
      </w:r>
      <w:proofErr w:type="spellStart"/>
      <w:r w:rsidRPr="00C206A6">
        <w:rPr>
          <w:rFonts w:cs="Times New Roman"/>
          <w:sz w:val="28"/>
          <w:szCs w:val="28"/>
        </w:rPr>
        <w:t>скаляризации</w:t>
      </w:r>
      <w:proofErr w:type="spellEnd"/>
      <w:r w:rsidRPr="00C206A6">
        <w:rPr>
          <w:rFonts w:cs="Times New Roman"/>
          <w:sz w:val="28"/>
          <w:szCs w:val="28"/>
        </w:rPr>
        <w:t xml:space="preserve"> Фишера (рисунок 1). Рассмотренные способы выделения тренда детерминированной компоненты для построения прогноза позволяют получить меры достоверности для статистических оценок.</w:t>
      </w:r>
    </w:p>
    <w:p w14:paraId="48AC6EEF" w14:textId="77777777" w:rsidR="00C206A6" w:rsidRDefault="00C206A6" w:rsidP="00C206A6">
      <w:pPr>
        <w:jc w:val="center"/>
        <w:rPr>
          <w:rFonts w:cs="Times New Roman"/>
          <w:sz w:val="28"/>
          <w:szCs w:val="28"/>
        </w:rPr>
      </w:pPr>
    </w:p>
    <w:p w14:paraId="1E831DF2" w14:textId="403DBCFA" w:rsidR="00C206A6" w:rsidRDefault="00C206A6" w:rsidP="00C206A6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</w:rPr>
        <w:drawing>
          <wp:inline distT="0" distB="0" distL="0" distR="0" wp14:anchorId="4EBAB92F" wp14:editId="0A899A63">
            <wp:extent cx="2737485" cy="3060700"/>
            <wp:effectExtent l="0" t="0" r="571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85" cy="306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9EA8AE" w14:textId="3A0FB14E" w:rsidR="00C206A6" w:rsidRPr="00C206A6" w:rsidRDefault="00C206A6" w:rsidP="00C206A6">
      <w:pPr>
        <w:jc w:val="center"/>
        <w:rPr>
          <w:rFonts w:cs="Times New Roman"/>
          <w:sz w:val="28"/>
          <w:szCs w:val="28"/>
        </w:rPr>
      </w:pPr>
      <w:r w:rsidRPr="00C206A6">
        <w:rPr>
          <w:rFonts w:cs="Times New Roman"/>
          <w:sz w:val="28"/>
          <w:szCs w:val="28"/>
        </w:rPr>
        <w:t>Рисунок 1</w:t>
      </w:r>
      <w:r>
        <w:rPr>
          <w:rFonts w:cs="Times New Roman"/>
          <w:sz w:val="28"/>
          <w:szCs w:val="28"/>
        </w:rPr>
        <w:t>.1</w:t>
      </w:r>
      <w:r w:rsidRPr="00C206A6">
        <w:rPr>
          <w:rFonts w:cs="Times New Roman"/>
          <w:sz w:val="28"/>
          <w:szCs w:val="28"/>
        </w:rPr>
        <w:t xml:space="preserve"> – Алгоритм формирования единого диагностического критерия</w:t>
      </w:r>
    </w:p>
    <w:p w14:paraId="291A7DC3" w14:textId="77777777" w:rsidR="00C206A6" w:rsidRPr="00C206A6" w:rsidRDefault="00C206A6" w:rsidP="00C206A6">
      <w:pPr>
        <w:rPr>
          <w:rFonts w:cs="Times New Roman"/>
          <w:sz w:val="28"/>
          <w:szCs w:val="28"/>
        </w:rPr>
      </w:pPr>
    </w:p>
    <w:p w14:paraId="7F948157" w14:textId="77777777" w:rsidR="00C206A6" w:rsidRPr="00C206A6" w:rsidRDefault="00C206A6" w:rsidP="00C206A6">
      <w:pPr>
        <w:rPr>
          <w:rFonts w:cs="Times New Roman"/>
          <w:sz w:val="28"/>
          <w:szCs w:val="28"/>
        </w:rPr>
      </w:pPr>
      <w:r w:rsidRPr="00C206A6">
        <w:rPr>
          <w:rFonts w:cs="Times New Roman"/>
          <w:sz w:val="28"/>
          <w:szCs w:val="28"/>
        </w:rPr>
        <w:t xml:space="preserve">Впервые, в зависимости от формы технического обслуживания рекомендованы методики долгосрочного (по методу наименьших квадратов) и краткосрочного (адаптивная экспоненциальная модель) прогнозирования, и разработаны соответствующие алгоритмы получения оценок технического состояния объектов диагностики (рисунок 2). </w:t>
      </w:r>
    </w:p>
    <w:p w14:paraId="6F75D4CC" w14:textId="4B383F94" w:rsidR="00850AA1" w:rsidRDefault="00C206A6" w:rsidP="00C206A6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</w:rPr>
        <w:lastRenderedPageBreak/>
        <w:drawing>
          <wp:inline distT="0" distB="0" distL="0" distR="0" wp14:anchorId="5092E0E0" wp14:editId="1C253E05">
            <wp:extent cx="3432175" cy="2030095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030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5DBA29" w14:textId="77777777" w:rsidR="00C206A6" w:rsidRPr="00C206A6" w:rsidRDefault="00C206A6" w:rsidP="00C206A6">
      <w:pPr>
        <w:jc w:val="center"/>
        <w:rPr>
          <w:rFonts w:cs="Times New Roman"/>
          <w:sz w:val="28"/>
          <w:szCs w:val="28"/>
        </w:rPr>
      </w:pPr>
      <w:r w:rsidRPr="00C206A6">
        <w:rPr>
          <w:rFonts w:cs="Times New Roman"/>
          <w:sz w:val="28"/>
          <w:szCs w:val="28"/>
        </w:rPr>
        <w:t xml:space="preserve">Рисунок 2 – Схема изменения технического состояния объекта </w:t>
      </w:r>
    </w:p>
    <w:p w14:paraId="06BBA0FF" w14:textId="77777777" w:rsidR="00C206A6" w:rsidRPr="00C206A6" w:rsidRDefault="00C206A6" w:rsidP="00C206A6">
      <w:pPr>
        <w:jc w:val="center"/>
        <w:rPr>
          <w:rFonts w:cs="Times New Roman"/>
          <w:sz w:val="28"/>
          <w:szCs w:val="28"/>
        </w:rPr>
      </w:pPr>
      <w:r w:rsidRPr="00C206A6">
        <w:rPr>
          <w:rFonts w:cs="Times New Roman"/>
          <w:sz w:val="28"/>
          <w:szCs w:val="28"/>
        </w:rPr>
        <w:t>диагностики в координатах «диагностический параметр – время»</w:t>
      </w:r>
    </w:p>
    <w:p w14:paraId="47EBE309" w14:textId="3F71BB0B" w:rsidR="00C206A6" w:rsidRDefault="00C206A6" w:rsidP="00C206A6">
      <w:pPr>
        <w:jc w:val="center"/>
        <w:rPr>
          <w:rFonts w:cs="Times New Roman"/>
          <w:sz w:val="28"/>
          <w:szCs w:val="28"/>
        </w:rPr>
      </w:pPr>
    </w:p>
    <w:p w14:paraId="0921689F" w14:textId="20AE7474" w:rsidR="00C206A6" w:rsidRPr="00FF6345" w:rsidRDefault="00FF6345" w:rsidP="00FF6345">
      <w:pPr>
        <w:pStyle w:val="a3"/>
        <w:numPr>
          <w:ilvl w:val="0"/>
          <w:numId w:val="5"/>
        </w:numPr>
        <w:jc w:val="center"/>
        <w:rPr>
          <w:rFonts w:cs="Times New Roman"/>
          <w:sz w:val="28"/>
          <w:szCs w:val="28"/>
        </w:rPr>
      </w:pPr>
      <w:r w:rsidRPr="00FF6345">
        <w:rPr>
          <w:rFonts w:cs="Times New Roman"/>
          <w:b/>
          <w:bCs/>
          <w:sz w:val="28"/>
          <w:szCs w:val="28"/>
        </w:rPr>
        <w:t>Обоснование технологии и оборудования выемки мощных пологих пластов</w:t>
      </w:r>
    </w:p>
    <w:p w14:paraId="5FB6593C" w14:textId="5AFE0C1D" w:rsidR="00FF6345" w:rsidRPr="00FF6345" w:rsidRDefault="00FF6345" w:rsidP="00FF6345">
      <w:pPr>
        <w:jc w:val="center"/>
        <w:rPr>
          <w:rFonts w:cs="Times New Roman"/>
          <w:sz w:val="28"/>
          <w:szCs w:val="28"/>
        </w:rPr>
      </w:pPr>
      <w:r w:rsidRPr="00FF6345">
        <w:rPr>
          <w:rFonts w:cs="Times New Roman"/>
          <w:sz w:val="28"/>
          <w:szCs w:val="28"/>
        </w:rPr>
        <w:t xml:space="preserve">Авторы: к.т.н. Стародубов А.Н., </w:t>
      </w:r>
      <w:proofErr w:type="spellStart"/>
      <w:r w:rsidRPr="00FF6345">
        <w:rPr>
          <w:rFonts w:cs="Times New Roman"/>
          <w:sz w:val="28"/>
          <w:szCs w:val="28"/>
        </w:rPr>
        <w:t>Кадочигова</w:t>
      </w:r>
      <w:proofErr w:type="spellEnd"/>
      <w:r w:rsidRPr="00FF6345">
        <w:rPr>
          <w:rFonts w:cs="Times New Roman"/>
          <w:sz w:val="28"/>
          <w:szCs w:val="28"/>
        </w:rPr>
        <w:t xml:space="preserve"> А. Н., Черкасов П.В</w:t>
      </w:r>
      <w:r>
        <w:rPr>
          <w:rFonts w:cs="Times New Roman"/>
          <w:sz w:val="28"/>
          <w:szCs w:val="28"/>
        </w:rPr>
        <w:t>.</w:t>
      </w:r>
    </w:p>
    <w:p w14:paraId="4F228E49" w14:textId="7BB96261" w:rsidR="00FF6345" w:rsidRDefault="00FF6345" w:rsidP="00FF6345">
      <w:pPr>
        <w:jc w:val="center"/>
        <w:rPr>
          <w:rFonts w:cs="Times New Roman"/>
          <w:sz w:val="28"/>
          <w:szCs w:val="28"/>
        </w:rPr>
      </w:pPr>
    </w:p>
    <w:p w14:paraId="455DB5A9" w14:textId="77777777" w:rsidR="00FF6345" w:rsidRPr="00FF6345" w:rsidRDefault="00FF6345" w:rsidP="00FF6345">
      <w:pPr>
        <w:rPr>
          <w:rFonts w:cs="Times New Roman"/>
          <w:sz w:val="28"/>
          <w:szCs w:val="28"/>
        </w:rPr>
      </w:pPr>
      <w:r w:rsidRPr="00FF6345">
        <w:rPr>
          <w:rFonts w:cs="Times New Roman"/>
          <w:sz w:val="28"/>
          <w:szCs w:val="28"/>
        </w:rPr>
        <w:t xml:space="preserve">Обоснованы режимные параметры технологии эффективной отработки мощных угольных пластов очистными механизированными комплексами с выпуском угля </w:t>
      </w:r>
      <w:proofErr w:type="spellStart"/>
      <w:r w:rsidRPr="00FF6345">
        <w:rPr>
          <w:rFonts w:cs="Times New Roman"/>
          <w:sz w:val="28"/>
          <w:szCs w:val="28"/>
        </w:rPr>
        <w:t>подкровельной</w:t>
      </w:r>
      <w:proofErr w:type="spellEnd"/>
      <w:r w:rsidRPr="00FF6345">
        <w:rPr>
          <w:rFonts w:cs="Times New Roman"/>
          <w:sz w:val="28"/>
          <w:szCs w:val="28"/>
        </w:rPr>
        <w:t xml:space="preserve"> толщи на забойный конвейер для различных горнотехнических и горно-геологических условий применения. Аналитически и методами компьютерного моделирования показаны условия высокой производительности и полноты выемки пласта, обеспечивающиеся эффективным управлением движения потока угля с его разворотом, без зависания в створе выпускного окна механизированной крепи.</w:t>
      </w:r>
    </w:p>
    <w:p w14:paraId="370EE3E5" w14:textId="1C9623AF" w:rsidR="00FF6345" w:rsidRPr="00FF6345" w:rsidRDefault="00FF6345" w:rsidP="00FF6345">
      <w:pPr>
        <w:rPr>
          <w:rFonts w:cs="Times New Roman"/>
          <w:sz w:val="28"/>
          <w:szCs w:val="28"/>
        </w:rPr>
      </w:pPr>
      <w:r w:rsidRPr="00FF6345">
        <w:rPr>
          <w:rFonts w:cs="Times New Roman"/>
          <w:sz w:val="28"/>
          <w:szCs w:val="28"/>
        </w:rPr>
        <w:t xml:space="preserve">На основе комплекса методов компьютерного моделирования обоснованы варианты </w:t>
      </w:r>
      <w:proofErr w:type="spellStart"/>
      <w:r w:rsidRPr="00FF6345">
        <w:rPr>
          <w:rFonts w:cs="Times New Roman"/>
          <w:sz w:val="28"/>
          <w:szCs w:val="28"/>
        </w:rPr>
        <w:t>геотехнологии</w:t>
      </w:r>
      <w:proofErr w:type="spellEnd"/>
      <w:r w:rsidRPr="00FF6345">
        <w:rPr>
          <w:rFonts w:cs="Times New Roman"/>
          <w:sz w:val="28"/>
          <w:szCs w:val="28"/>
        </w:rPr>
        <w:t xml:space="preserve">, при которых возможно программируемое управление движением горной массы. Обоснованы сочетания параметров технологии, позволяющие обеспечить наибольшую эффективность выпуска с точки зрения интегрированного комплекса показателей: выпущенной горной массы, процента разубоживания, потерь угля за крепью и частоты образования зависаний (рисунок </w:t>
      </w:r>
      <w:r>
        <w:rPr>
          <w:rFonts w:cs="Times New Roman"/>
          <w:sz w:val="28"/>
          <w:szCs w:val="28"/>
        </w:rPr>
        <w:t>2.</w:t>
      </w:r>
      <w:r w:rsidRPr="00FF6345">
        <w:rPr>
          <w:rFonts w:cs="Times New Roman"/>
          <w:sz w:val="28"/>
          <w:szCs w:val="28"/>
        </w:rPr>
        <w:t>1).</w:t>
      </w:r>
    </w:p>
    <w:p w14:paraId="1200179B" w14:textId="28964C3C" w:rsidR="00FF6345" w:rsidRDefault="00FF6345" w:rsidP="00FF6345">
      <w:pPr>
        <w:jc w:val="center"/>
        <w:rPr>
          <w:rFonts w:cs="Times New Roman"/>
          <w:sz w:val="28"/>
          <w:szCs w:val="28"/>
        </w:rPr>
      </w:pPr>
    </w:p>
    <w:p w14:paraId="28F752BE" w14:textId="332E1EA9" w:rsidR="00FF6345" w:rsidRDefault="00FF6345" w:rsidP="00FF6345">
      <w:pPr>
        <w:jc w:val="center"/>
        <w:rPr>
          <w:rFonts w:cs="Times New Roman"/>
          <w:sz w:val="28"/>
          <w:szCs w:val="28"/>
        </w:rPr>
      </w:pPr>
    </w:p>
    <w:p w14:paraId="1D30CF89" w14:textId="4C96FB76" w:rsidR="00D91DAA" w:rsidRDefault="00FF6345" w:rsidP="00D91DAA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</w:rPr>
        <w:drawing>
          <wp:inline distT="0" distB="0" distL="0" distR="0" wp14:anchorId="4D0E4A51" wp14:editId="58E45CE9">
            <wp:extent cx="2451100" cy="198755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98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39B0D0" w14:textId="7FF95AC2" w:rsidR="00D91DAA" w:rsidRDefault="00D91DAA" w:rsidP="00D91DAA">
      <w:pPr>
        <w:jc w:val="center"/>
        <w:rPr>
          <w:rFonts w:cs="Times New Roman"/>
          <w:sz w:val="28"/>
          <w:szCs w:val="28"/>
        </w:rPr>
      </w:pPr>
      <w:r w:rsidRPr="00FF6345">
        <w:rPr>
          <w:rFonts w:cs="Times New Roman"/>
          <w:sz w:val="28"/>
          <w:szCs w:val="28"/>
        </w:rPr>
        <w:t>Рисунок 1</w:t>
      </w:r>
      <w:r>
        <w:rPr>
          <w:rFonts w:cs="Times New Roman"/>
          <w:sz w:val="28"/>
          <w:szCs w:val="28"/>
        </w:rPr>
        <w:t>-</w:t>
      </w:r>
      <w:r w:rsidRPr="00D91DAA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У</w:t>
      </w:r>
      <w:r w:rsidRPr="00FF6345">
        <w:rPr>
          <w:rFonts w:cs="Times New Roman"/>
          <w:sz w:val="28"/>
          <w:szCs w:val="28"/>
        </w:rPr>
        <w:t>правления направлением потока угля с его разворотом</w:t>
      </w:r>
    </w:p>
    <w:p w14:paraId="75EA8A5E" w14:textId="4BCD4730" w:rsidR="00FF6345" w:rsidRDefault="00FF6345" w:rsidP="00D91DAA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</w:rPr>
        <w:lastRenderedPageBreak/>
        <w:drawing>
          <wp:inline distT="0" distB="0" distL="0" distR="0" wp14:anchorId="282195C7" wp14:editId="4846B5C9">
            <wp:extent cx="5838825" cy="3211700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484" cy="3219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4CB7D1" w14:textId="77777777" w:rsidR="00D91DAA" w:rsidRDefault="00FF6345" w:rsidP="00FF6345">
      <w:pPr>
        <w:rPr>
          <w:rFonts w:cs="Times New Roman"/>
          <w:sz w:val="28"/>
          <w:szCs w:val="28"/>
        </w:rPr>
      </w:pPr>
      <w:r w:rsidRPr="00FF6345">
        <w:rPr>
          <w:rFonts w:cs="Times New Roman"/>
          <w:sz w:val="28"/>
          <w:szCs w:val="28"/>
        </w:rPr>
        <w:t xml:space="preserve">Рисунок </w:t>
      </w:r>
      <w:r w:rsidR="00D91DAA">
        <w:rPr>
          <w:rFonts w:cs="Times New Roman"/>
          <w:sz w:val="28"/>
          <w:szCs w:val="28"/>
        </w:rPr>
        <w:t>2</w:t>
      </w:r>
      <w:r w:rsidRPr="00FF6345">
        <w:rPr>
          <w:rFonts w:cs="Times New Roman"/>
          <w:sz w:val="28"/>
          <w:szCs w:val="28"/>
        </w:rPr>
        <w:t xml:space="preserve"> –</w:t>
      </w:r>
      <w:r w:rsidR="00D91DAA">
        <w:rPr>
          <w:rFonts w:cs="Times New Roman"/>
          <w:sz w:val="28"/>
          <w:szCs w:val="28"/>
        </w:rPr>
        <w:t>В</w:t>
      </w:r>
      <w:r w:rsidRPr="00FF6345">
        <w:rPr>
          <w:rFonts w:cs="Times New Roman"/>
          <w:sz w:val="28"/>
          <w:szCs w:val="28"/>
        </w:rPr>
        <w:t xml:space="preserve">ыявления рационального интервала продолжительности </w:t>
      </w:r>
    </w:p>
    <w:p w14:paraId="4CD28031" w14:textId="6A78EAD9" w:rsidR="00FF6345" w:rsidRDefault="00FF6345" w:rsidP="00D91DAA">
      <w:pPr>
        <w:jc w:val="center"/>
        <w:rPr>
          <w:rFonts w:cs="Times New Roman"/>
          <w:sz w:val="28"/>
          <w:szCs w:val="28"/>
        </w:rPr>
      </w:pPr>
      <w:r w:rsidRPr="00FF6345">
        <w:rPr>
          <w:rFonts w:cs="Times New Roman"/>
          <w:sz w:val="28"/>
          <w:szCs w:val="28"/>
        </w:rPr>
        <w:t>единичного выпуска</w:t>
      </w:r>
    </w:p>
    <w:p w14:paraId="3BD66F95" w14:textId="2C837E6C" w:rsidR="00D91DAA" w:rsidRDefault="00D91DAA" w:rsidP="00D91DAA">
      <w:pPr>
        <w:jc w:val="center"/>
        <w:rPr>
          <w:rFonts w:cs="Times New Roman"/>
          <w:sz w:val="28"/>
          <w:szCs w:val="28"/>
        </w:rPr>
      </w:pPr>
    </w:p>
    <w:p w14:paraId="26384CDC" w14:textId="77777777" w:rsidR="00D91DAA" w:rsidRPr="00D91DAA" w:rsidRDefault="00D91DAA" w:rsidP="00D91DAA">
      <w:pPr>
        <w:pStyle w:val="a3"/>
        <w:rPr>
          <w:rFonts w:cs="Times New Roman"/>
          <w:sz w:val="28"/>
          <w:szCs w:val="28"/>
        </w:rPr>
      </w:pPr>
    </w:p>
    <w:p w14:paraId="396D43B8" w14:textId="77777777" w:rsidR="00D91DAA" w:rsidRPr="00D91DAA" w:rsidRDefault="00D91DAA" w:rsidP="00441D85">
      <w:pPr>
        <w:pStyle w:val="a3"/>
        <w:numPr>
          <w:ilvl w:val="0"/>
          <w:numId w:val="5"/>
        </w:numPr>
        <w:jc w:val="center"/>
        <w:rPr>
          <w:rFonts w:cs="Times New Roman"/>
          <w:sz w:val="28"/>
          <w:szCs w:val="28"/>
        </w:rPr>
      </w:pPr>
      <w:r w:rsidRPr="00D91DAA">
        <w:rPr>
          <w:rFonts w:cs="Times New Roman"/>
          <w:b/>
          <w:bCs/>
          <w:sz w:val="28"/>
          <w:szCs w:val="28"/>
        </w:rPr>
        <w:t xml:space="preserve">Методические указания по оценке и прогнозу технического </w:t>
      </w:r>
    </w:p>
    <w:p w14:paraId="141C0DCD" w14:textId="2FCBB333" w:rsidR="00FF6345" w:rsidRPr="00D91DAA" w:rsidRDefault="00D91DAA" w:rsidP="00D91DAA">
      <w:pPr>
        <w:pStyle w:val="a3"/>
        <w:jc w:val="center"/>
        <w:rPr>
          <w:rFonts w:cs="Times New Roman"/>
          <w:sz w:val="28"/>
          <w:szCs w:val="28"/>
        </w:rPr>
      </w:pPr>
      <w:r w:rsidRPr="00D91DAA">
        <w:rPr>
          <w:rFonts w:cs="Times New Roman"/>
          <w:b/>
          <w:bCs/>
          <w:sz w:val="28"/>
          <w:szCs w:val="28"/>
        </w:rPr>
        <w:t>состояния оборудования роботизированного комплекса для выемки угля</w:t>
      </w:r>
    </w:p>
    <w:p w14:paraId="6C2BD2DA" w14:textId="40F47A6D" w:rsidR="00D91DAA" w:rsidRPr="00D91DAA" w:rsidRDefault="00D91DAA" w:rsidP="00D91DAA">
      <w:pPr>
        <w:jc w:val="center"/>
        <w:rPr>
          <w:sz w:val="28"/>
          <w:szCs w:val="28"/>
        </w:rPr>
      </w:pPr>
      <w:r w:rsidRPr="00D91DAA">
        <w:rPr>
          <w:rFonts w:cs="Times New Roman"/>
          <w:sz w:val="28"/>
          <w:szCs w:val="28"/>
        </w:rPr>
        <w:t xml:space="preserve">Авторы: </w:t>
      </w:r>
      <w:r w:rsidRPr="00D91DAA">
        <w:rPr>
          <w:szCs w:val="24"/>
        </w:rPr>
        <w:t>д.т</w:t>
      </w:r>
      <w:r w:rsidRPr="00D91DAA">
        <w:rPr>
          <w:sz w:val="28"/>
          <w:szCs w:val="28"/>
        </w:rPr>
        <w:t xml:space="preserve">.н. </w:t>
      </w:r>
      <w:proofErr w:type="spellStart"/>
      <w:r w:rsidRPr="00D91DAA">
        <w:rPr>
          <w:sz w:val="28"/>
          <w:szCs w:val="28"/>
        </w:rPr>
        <w:t>Герике</w:t>
      </w:r>
      <w:proofErr w:type="spellEnd"/>
      <w:r w:rsidRPr="00D91DAA">
        <w:rPr>
          <w:sz w:val="28"/>
          <w:szCs w:val="28"/>
        </w:rPr>
        <w:t xml:space="preserve"> Б.Л. (тел.: +7 903 907-33-02, </w:t>
      </w:r>
      <w:r w:rsidRPr="00D91DAA">
        <w:rPr>
          <w:sz w:val="28"/>
          <w:szCs w:val="28"/>
          <w:lang w:val="en-US"/>
        </w:rPr>
        <w:t>e</w:t>
      </w:r>
      <w:r w:rsidRPr="00D91DAA">
        <w:rPr>
          <w:sz w:val="28"/>
          <w:szCs w:val="28"/>
        </w:rPr>
        <w:t>-</w:t>
      </w:r>
      <w:r w:rsidRPr="00D91DAA">
        <w:rPr>
          <w:sz w:val="28"/>
          <w:szCs w:val="28"/>
          <w:lang w:val="en-US"/>
        </w:rPr>
        <w:t>mail</w:t>
      </w:r>
      <w:r w:rsidRPr="00D91DAA">
        <w:rPr>
          <w:sz w:val="28"/>
          <w:szCs w:val="28"/>
        </w:rPr>
        <w:t>: gbl_42@mail.ru)</w:t>
      </w:r>
    </w:p>
    <w:p w14:paraId="6844D926" w14:textId="77777777" w:rsidR="00D91DAA" w:rsidRPr="00D91DAA" w:rsidRDefault="00D91DAA" w:rsidP="00D91DAA">
      <w:pPr>
        <w:jc w:val="both"/>
        <w:rPr>
          <w:sz w:val="28"/>
          <w:szCs w:val="28"/>
        </w:rPr>
      </w:pPr>
      <w:r w:rsidRPr="00D91DAA">
        <w:rPr>
          <w:sz w:val="28"/>
          <w:szCs w:val="28"/>
        </w:rPr>
        <w:t xml:space="preserve">к.т.н. </w:t>
      </w:r>
      <w:proofErr w:type="spellStart"/>
      <w:r w:rsidRPr="00D91DAA">
        <w:rPr>
          <w:sz w:val="28"/>
          <w:szCs w:val="28"/>
        </w:rPr>
        <w:t>Герике</w:t>
      </w:r>
      <w:proofErr w:type="spellEnd"/>
      <w:r w:rsidRPr="00D91DAA">
        <w:rPr>
          <w:sz w:val="28"/>
          <w:szCs w:val="28"/>
        </w:rPr>
        <w:t xml:space="preserve"> П.Б. (тел.: +7 903 943-66-66, </w:t>
      </w:r>
      <w:r w:rsidRPr="00D91DAA">
        <w:rPr>
          <w:sz w:val="28"/>
          <w:szCs w:val="28"/>
          <w:lang w:val="en-US"/>
        </w:rPr>
        <w:t>e</w:t>
      </w:r>
      <w:r w:rsidRPr="00D91DAA">
        <w:rPr>
          <w:sz w:val="28"/>
          <w:szCs w:val="28"/>
        </w:rPr>
        <w:t>-</w:t>
      </w:r>
      <w:r w:rsidRPr="00D91DAA">
        <w:rPr>
          <w:sz w:val="28"/>
          <w:szCs w:val="28"/>
          <w:lang w:val="en-US"/>
        </w:rPr>
        <w:t>mail</w:t>
      </w:r>
      <w:r w:rsidRPr="00D91DAA">
        <w:rPr>
          <w:sz w:val="28"/>
          <w:szCs w:val="28"/>
        </w:rPr>
        <w:t>: am_besten@mail.ru)</w:t>
      </w:r>
    </w:p>
    <w:p w14:paraId="344B6CA2" w14:textId="77777777" w:rsidR="00D91DAA" w:rsidRPr="00D91DAA" w:rsidRDefault="00D91DAA" w:rsidP="00D91DAA">
      <w:pPr>
        <w:jc w:val="both"/>
        <w:rPr>
          <w:sz w:val="28"/>
          <w:szCs w:val="28"/>
        </w:rPr>
      </w:pPr>
      <w:proofErr w:type="spellStart"/>
      <w:r w:rsidRPr="00D91DAA">
        <w:rPr>
          <w:sz w:val="28"/>
          <w:szCs w:val="28"/>
        </w:rPr>
        <w:t>Швыдкин</w:t>
      </w:r>
      <w:proofErr w:type="spellEnd"/>
      <w:r w:rsidRPr="00D91DAA">
        <w:rPr>
          <w:sz w:val="28"/>
          <w:szCs w:val="28"/>
        </w:rPr>
        <w:t xml:space="preserve"> С.</w:t>
      </w:r>
      <w:r w:rsidRPr="00D91DAA">
        <w:rPr>
          <w:b/>
          <w:bCs/>
          <w:sz w:val="28"/>
          <w:szCs w:val="28"/>
        </w:rPr>
        <w:t>А.</w:t>
      </w:r>
      <w:r w:rsidRPr="00D91DAA">
        <w:rPr>
          <w:sz w:val="28"/>
          <w:szCs w:val="28"/>
        </w:rPr>
        <w:t xml:space="preserve"> (тел.: +7 904 375-20-60, </w:t>
      </w:r>
      <w:r w:rsidRPr="00D91DAA">
        <w:rPr>
          <w:sz w:val="28"/>
          <w:szCs w:val="28"/>
          <w:lang w:val="en-US"/>
        </w:rPr>
        <w:t>e</w:t>
      </w:r>
      <w:r w:rsidRPr="00D91DAA">
        <w:rPr>
          <w:sz w:val="28"/>
          <w:szCs w:val="28"/>
        </w:rPr>
        <w:t>-</w:t>
      </w:r>
      <w:r w:rsidRPr="00D91DAA">
        <w:rPr>
          <w:sz w:val="28"/>
          <w:szCs w:val="28"/>
          <w:lang w:val="en-US"/>
        </w:rPr>
        <w:t>mail</w:t>
      </w:r>
      <w:r w:rsidRPr="00D91DAA">
        <w:rPr>
          <w:sz w:val="28"/>
          <w:szCs w:val="28"/>
        </w:rPr>
        <w:t>: sergserg60@mail.ru)</w:t>
      </w:r>
    </w:p>
    <w:p w14:paraId="4C9356EC" w14:textId="77777777" w:rsidR="00D91DAA" w:rsidRPr="00D91DAA" w:rsidRDefault="00D91DAA" w:rsidP="00D91DAA">
      <w:pPr>
        <w:jc w:val="center"/>
        <w:rPr>
          <w:b/>
          <w:bCs/>
          <w:sz w:val="28"/>
          <w:szCs w:val="28"/>
        </w:rPr>
      </w:pPr>
    </w:p>
    <w:p w14:paraId="4B7A6DEE" w14:textId="77777777" w:rsidR="00D91DAA" w:rsidRPr="00D91DAA" w:rsidRDefault="00D91DAA" w:rsidP="00D91DAA">
      <w:pPr>
        <w:ind w:firstLine="709"/>
        <w:jc w:val="both"/>
        <w:rPr>
          <w:color w:val="000000"/>
          <w:sz w:val="28"/>
          <w:szCs w:val="28"/>
        </w:rPr>
      </w:pPr>
      <w:r w:rsidRPr="00D91DAA">
        <w:rPr>
          <w:color w:val="000000"/>
          <w:sz w:val="28"/>
          <w:szCs w:val="28"/>
        </w:rPr>
        <w:t xml:space="preserve">Методические указания (МУ) содержат требования к измерениям и регистрации результатов диагностического измерения и прогнозирования технического состояния оборудования роботизированного комплекса (РК) для выемки угля из мощных пластов. </w:t>
      </w:r>
    </w:p>
    <w:p w14:paraId="32D82744" w14:textId="77777777" w:rsidR="00D91DAA" w:rsidRPr="00D91DAA" w:rsidRDefault="00D91DAA" w:rsidP="00D91DAA">
      <w:pPr>
        <w:ind w:firstLine="709"/>
        <w:jc w:val="both"/>
        <w:rPr>
          <w:color w:val="000000"/>
          <w:sz w:val="28"/>
          <w:szCs w:val="28"/>
        </w:rPr>
      </w:pPr>
      <w:r w:rsidRPr="00D91DAA">
        <w:rPr>
          <w:color w:val="000000"/>
          <w:sz w:val="28"/>
          <w:szCs w:val="28"/>
        </w:rPr>
        <w:t xml:space="preserve">МУ предназначены для оценки текущего состояния оборудования РК и построения его прогностических оценок и планирования профилактического технического обслуживания и ремонта. Оценка технического состояния оборудования РК производится на основе результатов </w:t>
      </w:r>
      <w:proofErr w:type="spellStart"/>
      <w:r w:rsidRPr="00D91DAA">
        <w:rPr>
          <w:color w:val="000000"/>
          <w:sz w:val="28"/>
          <w:szCs w:val="28"/>
        </w:rPr>
        <w:t>вибродиагностического</w:t>
      </w:r>
      <w:proofErr w:type="spellEnd"/>
      <w:r w:rsidRPr="00D91DAA">
        <w:rPr>
          <w:color w:val="000000"/>
          <w:sz w:val="28"/>
          <w:szCs w:val="28"/>
        </w:rPr>
        <w:t xml:space="preserve"> обследования, тепловизионного контроля и анализа горюче-смазочных материалов.</w:t>
      </w:r>
    </w:p>
    <w:p w14:paraId="29673372" w14:textId="77777777" w:rsidR="00D91DAA" w:rsidRPr="00D91DAA" w:rsidRDefault="00D91DAA" w:rsidP="00D91DAA">
      <w:pPr>
        <w:ind w:firstLine="709"/>
        <w:jc w:val="both"/>
        <w:rPr>
          <w:color w:val="000000"/>
          <w:sz w:val="28"/>
          <w:szCs w:val="28"/>
        </w:rPr>
      </w:pPr>
      <w:r w:rsidRPr="00D91DAA">
        <w:rPr>
          <w:color w:val="000000"/>
          <w:sz w:val="28"/>
          <w:szCs w:val="28"/>
        </w:rPr>
        <w:t xml:space="preserve">МУ применяются для оборудования РК при его эксплуатации, текущем обслуживании и ремонтах: очистной комбайн, крепь, конвейер, дробилка-перегружатель, </w:t>
      </w:r>
      <w:proofErr w:type="spellStart"/>
      <w:r w:rsidRPr="00D91DAA">
        <w:rPr>
          <w:color w:val="000000"/>
          <w:sz w:val="28"/>
          <w:szCs w:val="28"/>
        </w:rPr>
        <w:t>маслостанция</w:t>
      </w:r>
      <w:proofErr w:type="spellEnd"/>
      <w:r w:rsidRPr="00D91DAA">
        <w:rPr>
          <w:color w:val="000000"/>
          <w:sz w:val="28"/>
          <w:szCs w:val="28"/>
        </w:rPr>
        <w:t>.</w:t>
      </w:r>
    </w:p>
    <w:p w14:paraId="772D6AC9" w14:textId="77777777" w:rsidR="00D91DAA" w:rsidRPr="00D91DAA" w:rsidRDefault="00D91DAA" w:rsidP="00D91DAA">
      <w:pPr>
        <w:ind w:firstLine="709"/>
        <w:jc w:val="both"/>
        <w:rPr>
          <w:color w:val="000000"/>
          <w:sz w:val="28"/>
          <w:szCs w:val="28"/>
        </w:rPr>
      </w:pPr>
      <w:r w:rsidRPr="00D91DAA">
        <w:rPr>
          <w:color w:val="000000"/>
          <w:sz w:val="28"/>
          <w:szCs w:val="28"/>
        </w:rPr>
        <w:t>МУ устанавливают виды и точность измерений, необходимых для контроля и оценки технического состояния оборудования РК при приёмо-сдаточных испытаниях, эксплуатации, техническом обслуживании и послеремонтном обследовании.</w:t>
      </w:r>
    </w:p>
    <w:p w14:paraId="2466A113" w14:textId="741D1826" w:rsidR="00D91DAA" w:rsidRPr="00D91DAA" w:rsidRDefault="00D91DAA" w:rsidP="00D91DAA">
      <w:pPr>
        <w:rPr>
          <w:color w:val="000000"/>
          <w:sz w:val="28"/>
          <w:szCs w:val="28"/>
        </w:rPr>
      </w:pPr>
      <w:r>
        <w:rPr>
          <w:noProof/>
          <w14:ligatures w14:val="none"/>
        </w:rPr>
        <w:lastRenderedPageBreak/>
        <w:drawing>
          <wp:inline distT="0" distB="0" distL="0" distR="0" wp14:anchorId="1B344E10" wp14:editId="40A370C9">
            <wp:extent cx="5848350" cy="4229100"/>
            <wp:effectExtent l="0" t="0" r="0" b="0"/>
            <wp:docPr id="18" name="Рисунок 17">
              <a:extLst xmlns:a="http://schemas.openxmlformats.org/drawingml/2006/main">
                <a:ext uri="{FF2B5EF4-FFF2-40B4-BE49-F238E27FC236}">
                  <a16:creationId xmlns:a16="http://schemas.microsoft.com/office/drawing/2014/main" id="{177C39E1-7CBC-4B04-98F4-E32BF232F8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7">
                      <a:extLst>
                        <a:ext uri="{FF2B5EF4-FFF2-40B4-BE49-F238E27FC236}">
                          <a16:creationId xmlns:a16="http://schemas.microsoft.com/office/drawing/2014/main" id="{177C39E1-7CBC-4B04-98F4-E32BF232F8A6}"/>
                        </a:ext>
                      </a:extLst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79349" w14:textId="2F26086B" w:rsidR="00D91DAA" w:rsidRDefault="00D91DAA" w:rsidP="00D91DAA">
      <w:pPr>
        <w:jc w:val="center"/>
        <w:rPr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>Рисунок 1.4 -</w:t>
      </w:r>
      <w:r w:rsidRPr="00D91DAA">
        <w:rPr>
          <w:color w:val="000000"/>
          <w:szCs w:val="24"/>
        </w:rPr>
        <w:t xml:space="preserve"> </w:t>
      </w:r>
      <w:r w:rsidRPr="00D91DAA">
        <w:rPr>
          <w:color w:val="000000"/>
          <w:sz w:val="28"/>
          <w:szCs w:val="28"/>
        </w:rPr>
        <w:t xml:space="preserve">Комбинированная структурная схема с блоками диагностирования и </w:t>
      </w:r>
      <w:proofErr w:type="gramStart"/>
      <w:r w:rsidRPr="00D91DAA">
        <w:rPr>
          <w:color w:val="000000"/>
          <w:sz w:val="28"/>
          <w:szCs w:val="28"/>
        </w:rPr>
        <w:t xml:space="preserve">прогнозирования </w:t>
      </w:r>
      <w:r>
        <w:rPr>
          <w:color w:val="000000"/>
          <w:sz w:val="28"/>
          <w:szCs w:val="28"/>
        </w:rPr>
        <w:t xml:space="preserve"> </w:t>
      </w:r>
      <w:r w:rsidRPr="00D91DAA">
        <w:rPr>
          <w:color w:val="000000"/>
          <w:sz w:val="28"/>
          <w:szCs w:val="28"/>
        </w:rPr>
        <w:t>(</w:t>
      </w:r>
      <w:proofErr w:type="gramEnd"/>
      <w:r w:rsidRPr="00D91DAA">
        <w:rPr>
          <w:color w:val="000000"/>
          <w:sz w:val="28"/>
          <w:szCs w:val="28"/>
        </w:rPr>
        <w:t>с примером кинематической схемы измерения вибрации привода конвейера/перегружателя)</w:t>
      </w:r>
    </w:p>
    <w:p w14:paraId="611DBC19" w14:textId="4CC5F302" w:rsidR="00D91DAA" w:rsidRDefault="00D91DAA" w:rsidP="00D91DAA">
      <w:pPr>
        <w:jc w:val="center"/>
        <w:rPr>
          <w:color w:val="000000"/>
          <w:sz w:val="28"/>
          <w:szCs w:val="28"/>
        </w:rPr>
      </w:pPr>
    </w:p>
    <w:p w14:paraId="54ADFEE4" w14:textId="692104ED" w:rsidR="00D91DAA" w:rsidRPr="00D91DAA" w:rsidRDefault="00D91DAA" w:rsidP="00B6015A">
      <w:pPr>
        <w:pStyle w:val="a3"/>
        <w:numPr>
          <w:ilvl w:val="0"/>
          <w:numId w:val="6"/>
        </w:numPr>
        <w:ind w:right="-1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</w:t>
      </w:r>
      <w:r w:rsidRPr="00D91DAA">
        <w:rPr>
          <w:b/>
          <w:bCs/>
          <w:color w:val="000000"/>
          <w:sz w:val="28"/>
          <w:szCs w:val="28"/>
        </w:rPr>
        <w:t>етодические рекомендации по количественной оценке достоверности запасов</w:t>
      </w:r>
      <w:r>
        <w:rPr>
          <w:b/>
          <w:bCs/>
          <w:color w:val="000000"/>
          <w:sz w:val="28"/>
          <w:szCs w:val="28"/>
        </w:rPr>
        <w:t xml:space="preserve"> </w:t>
      </w:r>
      <w:r w:rsidRPr="00D91DAA">
        <w:rPr>
          <w:b/>
          <w:bCs/>
          <w:color w:val="000000"/>
          <w:sz w:val="28"/>
          <w:szCs w:val="28"/>
        </w:rPr>
        <w:t>угольных месторождений</w:t>
      </w:r>
    </w:p>
    <w:p w14:paraId="32185B9A" w14:textId="77777777" w:rsidR="00D91DAA" w:rsidRPr="00D91DAA" w:rsidRDefault="00D91DAA" w:rsidP="00D91DAA">
      <w:pPr>
        <w:rPr>
          <w:b/>
          <w:bCs/>
          <w:sz w:val="28"/>
          <w:szCs w:val="28"/>
        </w:rPr>
      </w:pPr>
    </w:p>
    <w:p w14:paraId="6B7EF690" w14:textId="77777777" w:rsidR="00D91DAA" w:rsidRPr="00D91DAA" w:rsidRDefault="00D91DAA" w:rsidP="00D91DAA">
      <w:pPr>
        <w:rPr>
          <w:sz w:val="28"/>
          <w:szCs w:val="28"/>
        </w:rPr>
      </w:pPr>
      <w:r w:rsidRPr="00D91DAA">
        <w:rPr>
          <w:b/>
          <w:bCs/>
          <w:sz w:val="28"/>
          <w:szCs w:val="28"/>
        </w:rPr>
        <w:t>д</w:t>
      </w:r>
      <w:r w:rsidRPr="00D91DAA">
        <w:rPr>
          <w:sz w:val="28"/>
          <w:szCs w:val="28"/>
        </w:rPr>
        <w:t xml:space="preserve">.т.н. </w:t>
      </w:r>
      <w:proofErr w:type="spellStart"/>
      <w:r w:rsidRPr="00D91DAA">
        <w:rPr>
          <w:sz w:val="28"/>
          <w:szCs w:val="28"/>
        </w:rPr>
        <w:t>Шаклеин</w:t>
      </w:r>
      <w:proofErr w:type="spellEnd"/>
      <w:r w:rsidRPr="00D91DAA">
        <w:rPr>
          <w:sz w:val="28"/>
          <w:szCs w:val="28"/>
        </w:rPr>
        <w:t xml:space="preserve"> С.В (тел.: +7 903 046-11-08, </w:t>
      </w:r>
      <w:r w:rsidRPr="00D91DAA">
        <w:rPr>
          <w:sz w:val="28"/>
          <w:szCs w:val="28"/>
          <w:lang w:val="en-US"/>
        </w:rPr>
        <w:t>e</w:t>
      </w:r>
      <w:r w:rsidRPr="00D91DAA">
        <w:rPr>
          <w:sz w:val="28"/>
          <w:szCs w:val="28"/>
        </w:rPr>
        <w:t>-</w:t>
      </w:r>
      <w:r w:rsidRPr="00D91DAA">
        <w:rPr>
          <w:sz w:val="28"/>
          <w:szCs w:val="28"/>
          <w:lang w:val="en-US"/>
        </w:rPr>
        <w:t>mail</w:t>
      </w:r>
      <w:r w:rsidRPr="00D91DAA">
        <w:rPr>
          <w:sz w:val="28"/>
          <w:szCs w:val="28"/>
        </w:rPr>
        <w:t>: svs1950@mail.ru)</w:t>
      </w:r>
    </w:p>
    <w:p w14:paraId="434C16D7" w14:textId="77777777" w:rsidR="00D91DAA" w:rsidRPr="00D91DAA" w:rsidRDefault="00D91DAA" w:rsidP="00D91DAA">
      <w:pPr>
        <w:rPr>
          <w:sz w:val="28"/>
          <w:szCs w:val="28"/>
        </w:rPr>
      </w:pPr>
      <w:r w:rsidRPr="00D91DAA">
        <w:rPr>
          <w:sz w:val="28"/>
          <w:szCs w:val="28"/>
        </w:rPr>
        <w:t xml:space="preserve">д.т.н. Рогова Т.Б. (тел.: +7 (384-2) 74-22-56, </w:t>
      </w:r>
      <w:r w:rsidRPr="00D91DAA">
        <w:rPr>
          <w:sz w:val="28"/>
          <w:szCs w:val="28"/>
          <w:lang w:val="en-US"/>
        </w:rPr>
        <w:t>e</w:t>
      </w:r>
      <w:r w:rsidRPr="00D91DAA">
        <w:rPr>
          <w:sz w:val="28"/>
          <w:szCs w:val="28"/>
        </w:rPr>
        <w:t>-</w:t>
      </w:r>
      <w:r w:rsidRPr="00D91DAA">
        <w:rPr>
          <w:sz w:val="28"/>
          <w:szCs w:val="28"/>
          <w:lang w:val="en-US"/>
        </w:rPr>
        <w:t>mail</w:t>
      </w:r>
      <w:r w:rsidRPr="00D91DAA">
        <w:rPr>
          <w:sz w:val="28"/>
          <w:szCs w:val="28"/>
        </w:rPr>
        <w:t xml:space="preserve">: rogtb@mail.ru, </w:t>
      </w:r>
      <w:proofErr w:type="spellStart"/>
      <w:r w:rsidRPr="00D91DAA">
        <w:rPr>
          <w:sz w:val="28"/>
          <w:szCs w:val="28"/>
        </w:rPr>
        <w:t>КузГТУ</w:t>
      </w:r>
      <w:proofErr w:type="spellEnd"/>
      <w:r w:rsidRPr="00D91DAA">
        <w:rPr>
          <w:sz w:val="28"/>
          <w:szCs w:val="28"/>
        </w:rPr>
        <w:t>)</w:t>
      </w:r>
    </w:p>
    <w:p w14:paraId="74F481C8" w14:textId="77777777" w:rsidR="00D91DAA" w:rsidRPr="00D91DAA" w:rsidRDefault="00D91DAA" w:rsidP="00D91DAA">
      <w:pPr>
        <w:rPr>
          <w:b/>
          <w:bCs/>
          <w:sz w:val="28"/>
          <w:szCs w:val="28"/>
        </w:rPr>
      </w:pPr>
      <w:r w:rsidRPr="00D91DAA">
        <w:rPr>
          <w:sz w:val="28"/>
          <w:szCs w:val="28"/>
        </w:rPr>
        <w:t xml:space="preserve">д.т.н. Писаренко М.В. (тел.: +7 905 947-03-43, </w:t>
      </w:r>
      <w:r w:rsidRPr="00D91DAA">
        <w:rPr>
          <w:sz w:val="28"/>
          <w:szCs w:val="28"/>
          <w:lang w:val="en-US"/>
        </w:rPr>
        <w:t>e</w:t>
      </w:r>
      <w:r w:rsidRPr="00D91DAA">
        <w:rPr>
          <w:sz w:val="28"/>
          <w:szCs w:val="28"/>
        </w:rPr>
        <w:t>-</w:t>
      </w:r>
      <w:r w:rsidRPr="00D91DAA">
        <w:rPr>
          <w:sz w:val="28"/>
          <w:szCs w:val="28"/>
          <w:lang w:val="en-US"/>
        </w:rPr>
        <w:t>mail</w:t>
      </w:r>
      <w:r w:rsidRPr="00D91DAA">
        <w:rPr>
          <w:sz w:val="28"/>
          <w:szCs w:val="28"/>
        </w:rPr>
        <w:t>: iu.kemsc@mail.ru)</w:t>
      </w:r>
    </w:p>
    <w:p w14:paraId="59151291" w14:textId="77777777" w:rsidR="00D91DAA" w:rsidRPr="00D91DAA" w:rsidRDefault="00D91DAA" w:rsidP="00D91DAA">
      <w:pPr>
        <w:jc w:val="center"/>
        <w:rPr>
          <w:b/>
          <w:bCs/>
          <w:sz w:val="28"/>
          <w:szCs w:val="28"/>
        </w:rPr>
      </w:pPr>
    </w:p>
    <w:p w14:paraId="7D09AFA4" w14:textId="77777777" w:rsidR="00D91DAA" w:rsidRPr="00D91DAA" w:rsidRDefault="00D91DAA" w:rsidP="00D91DAA">
      <w:pPr>
        <w:rPr>
          <w:color w:val="000000"/>
          <w:sz w:val="28"/>
          <w:szCs w:val="28"/>
        </w:rPr>
      </w:pPr>
      <w:r w:rsidRPr="00D91DAA">
        <w:rPr>
          <w:color w:val="000000"/>
          <w:sz w:val="28"/>
          <w:szCs w:val="28"/>
        </w:rPr>
        <w:t xml:space="preserve">Руководствуясь общемировым признанием того, что категория </w:t>
      </w:r>
      <w:proofErr w:type="spellStart"/>
      <w:r w:rsidRPr="00D91DAA">
        <w:rPr>
          <w:color w:val="000000"/>
          <w:sz w:val="28"/>
          <w:szCs w:val="28"/>
        </w:rPr>
        <w:t>разведанности</w:t>
      </w:r>
      <w:proofErr w:type="spellEnd"/>
      <w:r w:rsidRPr="00D91DAA">
        <w:rPr>
          <w:color w:val="000000"/>
          <w:sz w:val="28"/>
          <w:szCs w:val="28"/>
        </w:rPr>
        <w:t xml:space="preserve"> выступает в качестве меры достоверности запасов, ведутся исследования по количественной оценке достоверности запасов угольных месторождений, по результатам которых с учетом многолетнего российского опыта и опыта стран членов БРИКС доработана уникальная версия Методических рекомендаций (МР) по ее выполнению (см. рисунок).</w:t>
      </w:r>
    </w:p>
    <w:p w14:paraId="77A419F7" w14:textId="77777777" w:rsidR="00D91DAA" w:rsidRPr="00D91DAA" w:rsidRDefault="00D91DAA" w:rsidP="00D91DAA">
      <w:pPr>
        <w:rPr>
          <w:color w:val="000000"/>
          <w:sz w:val="28"/>
          <w:szCs w:val="28"/>
        </w:rPr>
      </w:pPr>
      <w:r w:rsidRPr="00D91DAA">
        <w:rPr>
          <w:color w:val="000000"/>
          <w:sz w:val="28"/>
          <w:szCs w:val="28"/>
        </w:rPr>
        <w:t>В МР добавлены рекомендации по плотности разведочной сети в зависимости от сложности условий залегания и выдержанности угольных пластов, подход к формированию многовариантных моделей показателей угольных месторождений с учетом неопределённости геологических данных. Включены граничные значения допустимых погрешностей основных показателей угольных месторождений, что позволяет объективно относить запасы к той или иной категории по степени достоверности.</w:t>
      </w:r>
    </w:p>
    <w:p w14:paraId="6D850E71" w14:textId="77777777" w:rsidR="00D91DAA" w:rsidRPr="00D91DAA" w:rsidRDefault="00D91DAA" w:rsidP="00D91DAA">
      <w:pPr>
        <w:rPr>
          <w:color w:val="000000"/>
          <w:sz w:val="28"/>
          <w:szCs w:val="28"/>
        </w:rPr>
      </w:pPr>
      <w:r w:rsidRPr="00D91DAA">
        <w:rPr>
          <w:color w:val="000000"/>
          <w:sz w:val="28"/>
          <w:szCs w:val="28"/>
        </w:rPr>
        <w:lastRenderedPageBreak/>
        <w:t>Использование Методических рекомендаций позволит выполнить нормативные требования, снизить геологический риск при освоении недр, повысить доказательность и надежность оценок достоверности запасов минерально-сырьевой базы. По кругу решаемых задач Методические рекомендации отвечают цели, определенной пунктом 36 Плана мероприятий по реализации Стратегии развития минерально-сырьевой базы Российской Федерации до 2050 года, утвержденного распоряжением Правительства РФ от 04.03.2025 № 500-р.</w:t>
      </w:r>
    </w:p>
    <w:p w14:paraId="61086B17" w14:textId="592A681D" w:rsidR="00D91DAA" w:rsidRDefault="00D91DAA" w:rsidP="00D91DAA">
      <w:pPr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0C8AB044" wp14:editId="42FF59F2">
            <wp:extent cx="5980430" cy="2932430"/>
            <wp:effectExtent l="0" t="0" r="127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430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71FA55" w14:textId="77777777" w:rsidR="00D91DAA" w:rsidRPr="00D91DAA" w:rsidRDefault="00D91DAA" w:rsidP="00D91DAA">
      <w:pPr>
        <w:jc w:val="center"/>
        <w:rPr>
          <w:sz w:val="28"/>
          <w:szCs w:val="28"/>
        </w:rPr>
      </w:pPr>
    </w:p>
    <w:p w14:paraId="1BD4F8A0" w14:textId="3884552D" w:rsidR="00D91DAA" w:rsidRPr="00D91DAA" w:rsidRDefault="00D91DAA" w:rsidP="00D91DAA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Рисунок 1.5. </w:t>
      </w:r>
      <w:r w:rsidRPr="00D91DAA">
        <w:rPr>
          <w:rFonts w:cs="Times New Roman"/>
          <w:sz w:val="28"/>
          <w:szCs w:val="28"/>
        </w:rPr>
        <w:t>Основные разделы Методических рекомендаций по количественной оценке достоверности запасов угольных месторождений</w:t>
      </w:r>
    </w:p>
    <w:p w14:paraId="0D5B8CF1" w14:textId="4D6AC6C6" w:rsidR="00096293" w:rsidRDefault="00B6690F" w:rsidP="00B6690F">
      <w:pPr>
        <w:pStyle w:val="a4"/>
        <w:spacing w:before="0" w:beforeAutospacing="0" w:after="0" w:afterAutospacing="0"/>
        <w:ind w:firstLine="432"/>
        <w:jc w:val="both"/>
      </w:pPr>
      <w:r w:rsidRPr="00B6690F">
        <w:rPr>
          <w:sz w:val="28"/>
          <w:szCs w:val="28"/>
        </w:rPr>
        <w:t>.</w:t>
      </w:r>
    </w:p>
    <w:sectPr w:rsidR="00096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1042A"/>
    <w:multiLevelType w:val="hybridMultilevel"/>
    <w:tmpl w:val="4866BE2A"/>
    <w:lvl w:ilvl="0" w:tplc="0E30C6C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="Calibri" w:cstheme="minorBidi" w:hint="default"/>
        <w:b/>
        <w:color w:val="16347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8121E9"/>
    <w:multiLevelType w:val="hybridMultilevel"/>
    <w:tmpl w:val="62689754"/>
    <w:lvl w:ilvl="0" w:tplc="953CC9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4702F3C"/>
    <w:multiLevelType w:val="hybridMultilevel"/>
    <w:tmpl w:val="62689754"/>
    <w:lvl w:ilvl="0" w:tplc="953CC9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C31DEA"/>
    <w:multiLevelType w:val="hybridMultilevel"/>
    <w:tmpl w:val="D64473C0"/>
    <w:lvl w:ilvl="0" w:tplc="D98EC5AC">
      <w:start w:val="5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3B660D"/>
    <w:multiLevelType w:val="hybridMultilevel"/>
    <w:tmpl w:val="DBB09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657D8"/>
    <w:multiLevelType w:val="hybridMultilevel"/>
    <w:tmpl w:val="67AA5A5E"/>
    <w:lvl w:ilvl="0" w:tplc="94D673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593"/>
    <w:rsid w:val="00014032"/>
    <w:rsid w:val="0001775E"/>
    <w:rsid w:val="0004333B"/>
    <w:rsid w:val="00096293"/>
    <w:rsid w:val="000A4A88"/>
    <w:rsid w:val="00115ED6"/>
    <w:rsid w:val="00247413"/>
    <w:rsid w:val="00385F29"/>
    <w:rsid w:val="004243E0"/>
    <w:rsid w:val="00474DD3"/>
    <w:rsid w:val="0060608E"/>
    <w:rsid w:val="00704CCA"/>
    <w:rsid w:val="007731A7"/>
    <w:rsid w:val="007E3764"/>
    <w:rsid w:val="00850AA1"/>
    <w:rsid w:val="008A7606"/>
    <w:rsid w:val="008F7F69"/>
    <w:rsid w:val="00907CE1"/>
    <w:rsid w:val="009B47F4"/>
    <w:rsid w:val="00B16593"/>
    <w:rsid w:val="00B45B57"/>
    <w:rsid w:val="00B6690F"/>
    <w:rsid w:val="00C04206"/>
    <w:rsid w:val="00C06921"/>
    <w:rsid w:val="00C206A6"/>
    <w:rsid w:val="00C407E7"/>
    <w:rsid w:val="00D6152D"/>
    <w:rsid w:val="00D72071"/>
    <w:rsid w:val="00D91DAA"/>
    <w:rsid w:val="00E37D8C"/>
    <w:rsid w:val="00E84D27"/>
    <w:rsid w:val="00FF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DE5E3"/>
  <w15:chartTrackingRefBased/>
  <w15:docId w15:val="{FFBFCCB1-5F4D-4EE6-8167-03705D071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16593"/>
    <w:pPr>
      <w:spacing w:after="0" w:line="240" w:lineRule="auto"/>
    </w:pPr>
    <w:rPr>
      <w:rFonts w:ascii="Times New Roman" w:hAnsi="Times New Roman"/>
      <w:kern w:val="2"/>
      <w:sz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59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96293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ru-RU"/>
      <w14:ligatures w14:val="none"/>
    </w:rPr>
  </w:style>
  <w:style w:type="character" w:customStyle="1" w:styleId="docdata">
    <w:name w:val="docdata"/>
    <w:aliases w:val="docy,v5,1864,bqiaagaaeyqcaaagiaiaaan+baaabyweaaaaaaaaaaaaaaaaaaaaaaaaaaaaaaaaaaaaaaaaaaaaaaaaaaaaaaaaaaaaaaaaaaaaaaaaaaaaaaaaaaaaaaaaaaaaaaaaaaaaaaaaaaaaaaaaaaaaaaaaaaaaaaaaaaaaaaaaaaaaaaaaaaaaaaaaaaaaaaaaaaaaaaaaaaaaaaaaaaaaaaaaaaaaaaaaaaaaaaaa"/>
    <w:basedOn w:val="a0"/>
    <w:rsid w:val="000A4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2026-03-04T03:42:00Z</dcterms:created>
  <dcterms:modified xsi:type="dcterms:W3CDTF">2026-03-10T09:19:00Z</dcterms:modified>
</cp:coreProperties>
</file>