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7F11D1" w14:textId="4A349A40" w:rsidR="00777D20" w:rsidRPr="00247413" w:rsidRDefault="00D92216" w:rsidP="00777D20">
      <w:pPr>
        <w:pStyle w:val="a3"/>
        <w:ind w:left="0" w:firstLine="851"/>
        <w:jc w:val="both"/>
        <w:rPr>
          <w:rFonts w:cs="Times New Roman"/>
          <w:color w:val="000000"/>
          <w:sz w:val="28"/>
          <w:szCs w:val="28"/>
        </w:rPr>
      </w:pPr>
      <w:r>
        <w:rPr>
          <w:rFonts w:cs="Times New Roman"/>
          <w:color w:val="000000"/>
          <w:sz w:val="28"/>
          <w:szCs w:val="28"/>
        </w:rPr>
        <w:t>Научные результаты в 2025 году п</w:t>
      </w:r>
      <w:bookmarkStart w:id="0" w:name="_GoBack"/>
      <w:bookmarkEnd w:id="0"/>
      <w:r w:rsidR="00777D20" w:rsidRPr="00247413">
        <w:rPr>
          <w:rFonts w:cs="Times New Roman"/>
          <w:color w:val="000000"/>
          <w:sz w:val="28"/>
          <w:szCs w:val="28"/>
        </w:rPr>
        <w:t>о теме</w:t>
      </w:r>
      <w:r w:rsidR="00777D20" w:rsidRPr="00247413">
        <w:rPr>
          <w:rFonts w:eastAsia="Times New Roman" w:cs="Times New Roman"/>
          <w:b/>
          <w:bCs/>
          <w:color w:val="000000"/>
          <w:sz w:val="28"/>
          <w:szCs w:val="28"/>
          <w:lang w:eastAsia="ru-RU"/>
        </w:rPr>
        <w:t xml:space="preserve"> </w:t>
      </w:r>
      <w:r w:rsidR="00777D20">
        <w:rPr>
          <w:rFonts w:eastAsia="Times New Roman" w:cs="Times New Roman"/>
          <w:b/>
          <w:bCs/>
          <w:color w:val="000000"/>
          <w:sz w:val="28"/>
          <w:szCs w:val="28"/>
          <w:lang w:eastAsia="ru-RU"/>
        </w:rPr>
        <w:t>«</w:t>
      </w:r>
      <w:r w:rsidR="00777D20" w:rsidRPr="00247413">
        <w:rPr>
          <w:rFonts w:eastAsia="Times New Roman" w:cs="Times New Roman"/>
          <w:b/>
          <w:bCs/>
          <w:color w:val="000000"/>
          <w:sz w:val="28"/>
          <w:szCs w:val="28"/>
          <w:lang w:eastAsia="ru-RU"/>
        </w:rPr>
        <w:t>Создание многофункциональных систем мониторинга и прогноза газодинамических явлений, контроля напряженного состояния, разработка методов их предотвращения и оценки эффективности при подземной разработке угольных месторождений</w:t>
      </w:r>
      <w:r w:rsidR="00777D20">
        <w:rPr>
          <w:rFonts w:eastAsia="Times New Roman" w:cs="Times New Roman"/>
          <w:b/>
          <w:bCs/>
          <w:color w:val="000000"/>
          <w:sz w:val="28"/>
          <w:szCs w:val="28"/>
          <w:lang w:eastAsia="ru-RU"/>
        </w:rPr>
        <w:t>» в 2025 году :</w:t>
      </w:r>
    </w:p>
    <w:p w14:paraId="6EDB57CA" w14:textId="77777777" w:rsidR="0032670B" w:rsidRDefault="0032670B"/>
    <w:p w14:paraId="6FC3CA8E" w14:textId="77777777" w:rsidR="00777D20" w:rsidRPr="00777D20" w:rsidRDefault="00777D20" w:rsidP="00777D20">
      <w:pPr>
        <w:numPr>
          <w:ilvl w:val="0"/>
          <w:numId w:val="1"/>
        </w:numPr>
        <w:spacing w:after="0" w:line="240" w:lineRule="auto"/>
        <w:contextualSpacing/>
        <w:rPr>
          <w:rFonts w:ascii="Times New Roman" w:hAnsi="Times New Roman" w:cs="Times New Roman"/>
          <w:color w:val="000000" w:themeColor="text1"/>
          <w:kern w:val="2"/>
          <w:sz w:val="28"/>
          <w:szCs w:val="28"/>
          <w14:ligatures w14:val="standardContextual"/>
        </w:rPr>
      </w:pPr>
      <w:r w:rsidRPr="00777D20">
        <w:rPr>
          <w:rFonts w:eastAsiaTheme="minorEastAsia" w:hAnsi="Calibri"/>
          <w:b/>
          <w:bCs/>
          <w:color w:val="000000" w:themeColor="text1"/>
          <w:kern w:val="24"/>
          <w:sz w:val="28"/>
          <w:szCs w:val="28"/>
          <w14:ligatures w14:val="standardContextual"/>
        </w:rPr>
        <w:t>Оперативный метод определения коэффициента затухания гармоник «шума» работающего горного оборудования</w:t>
      </w:r>
    </w:p>
    <w:p w14:paraId="453E9243" w14:textId="77777777" w:rsidR="00777D20" w:rsidRPr="00777D20" w:rsidRDefault="00777D20" w:rsidP="00777D20">
      <w:pPr>
        <w:spacing w:after="0" w:line="240" w:lineRule="auto"/>
        <w:rPr>
          <w:rFonts w:ascii="Times New Roman" w:hAnsi="Times New Roman" w:cs="Times New Roman"/>
          <w:color w:val="000000" w:themeColor="text1"/>
          <w:kern w:val="2"/>
          <w:sz w:val="28"/>
          <w:szCs w:val="28"/>
          <w14:ligatures w14:val="standardContextual"/>
        </w:rPr>
      </w:pPr>
      <w:r w:rsidRPr="00777D20">
        <w:rPr>
          <w:rFonts w:ascii="Times New Roman" w:hAnsi="Times New Roman"/>
          <w:noProof/>
          <w:color w:val="000000" w:themeColor="text1"/>
          <w:kern w:val="2"/>
          <w:sz w:val="24"/>
        </w:rPr>
        <mc:AlternateContent>
          <mc:Choice Requires="wps">
            <w:drawing>
              <wp:anchor distT="0" distB="0" distL="114300" distR="114300" simplePos="0" relativeHeight="251659264" behindDoc="0" locked="0" layoutInCell="1" allowOverlap="1" wp14:anchorId="55F4E049" wp14:editId="2E4D2A49">
                <wp:simplePos x="0" y="0"/>
                <wp:positionH relativeFrom="column">
                  <wp:posOffset>-57150</wp:posOffset>
                </wp:positionH>
                <wp:positionV relativeFrom="paragraph">
                  <wp:posOffset>100330</wp:posOffset>
                </wp:positionV>
                <wp:extent cx="3089265" cy="307775"/>
                <wp:effectExtent l="0" t="0" r="0" b="0"/>
                <wp:wrapNone/>
                <wp:docPr id="8" name="Прямоугольник 7"/>
                <wp:cNvGraphicFramePr/>
                <a:graphic xmlns:a="http://schemas.openxmlformats.org/drawingml/2006/main">
                  <a:graphicData uri="http://schemas.microsoft.com/office/word/2010/wordprocessingShape">
                    <wps:wsp>
                      <wps:cNvSpPr/>
                      <wps:spPr>
                        <a:xfrm>
                          <a:off x="0" y="0"/>
                          <a:ext cx="3089265" cy="307775"/>
                        </a:xfrm>
                        <a:prstGeom prst="rect">
                          <a:avLst/>
                        </a:prstGeom>
                      </wps:spPr>
                      <wps:txbx>
                        <w:txbxContent>
                          <w:p w14:paraId="573E5533" w14:textId="77777777" w:rsidR="00777D20" w:rsidRDefault="00777D20" w:rsidP="00777D20">
                            <w:pPr>
                              <w:jc w:val="both"/>
                              <w:rPr>
                                <w:sz w:val="24"/>
                                <w:szCs w:val="24"/>
                              </w:rPr>
                            </w:pPr>
                            <w:r>
                              <w:rPr>
                                <w:rFonts w:ascii="Calibri" w:eastAsia="Verdana" w:hAnsi="Calibri"/>
                                <w:b/>
                                <w:bCs/>
                                <w:i/>
                                <w:iCs/>
                                <w:color w:val="1B4089"/>
                                <w:kern w:val="24"/>
                                <w:sz w:val="28"/>
                                <w:szCs w:val="28"/>
                              </w:rPr>
                              <w:t xml:space="preserve">Автор: </w:t>
                            </w:r>
                            <w:r>
                              <w:rPr>
                                <w:rFonts w:ascii="Calibri" w:eastAsia="Verdana" w:hAnsi="Calibri"/>
                                <w:b/>
                                <w:bCs/>
                                <w:i/>
                                <w:iCs/>
                                <w:color w:val="1B4089"/>
                                <w:kern w:val="24"/>
                                <w:sz w:val="28"/>
                                <w:szCs w:val="28"/>
                                <w:u w:val="single"/>
                              </w:rPr>
                              <w:t>д.т.н. Шадрин А.В.</w:t>
                            </w:r>
                          </w:p>
                        </w:txbxContent>
                      </wps:txbx>
                      <wps:bodyPr wrap="square" lIns="91438" tIns="45719" rIns="91438" bIns="45719">
                        <a:spAutoFit/>
                      </wps:bodyPr>
                    </wps:wsp>
                  </a:graphicData>
                </a:graphic>
              </wp:anchor>
            </w:drawing>
          </mc:Choice>
          <mc:Fallback>
            <w:pict>
              <v:rect w14:anchorId="269238F2" id="Прямоугольник 7" o:spid="_x0000_s1026" style="position:absolute;margin-left:-4.5pt;margin-top:7.9pt;width:243.25pt;height:24.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" filled="f" stroked="f">
                <v:textbox style="mso-fit-shape-to-text:t" inset="2.53994mm,1.27mm,2.53994mm,1.27mm">
                  <w:txbxContent>
                    <w:p w:rsidR="00777D20" w:rsidRDefault="00777D20" w:rsidP="00777D20">
                      <w:pPr>
                        <w:jc w:val="both"/>
                        <w:rPr>
                          <w:sz w:val="24"/>
                          <w:szCs w:val="24"/>
                        </w:rPr>
                      </w:pPr>
                      <w:r>
                        <w:rPr>
                          <w:rFonts w:ascii="Calibri" w:eastAsia="Verdana" w:hAnsi="Calibri"/>
                          <w:b/>
                          <w:bCs/>
                          <w:i/>
                          <w:iCs/>
                          <w:color w:val="1B4089"/>
                          <w:kern w:val="24"/>
                          <w:sz w:val="28"/>
                          <w:szCs w:val="28"/>
                        </w:rPr>
                        <w:t xml:space="preserve">Автор: </w:t>
                      </w:r>
                      <w:r>
                        <w:rPr>
                          <w:rFonts w:ascii="Calibri" w:eastAsia="Verdana" w:hAnsi="Calibri"/>
                          <w:b/>
                          <w:bCs/>
                          <w:i/>
                          <w:iCs/>
                          <w:color w:val="1B4089"/>
                          <w:kern w:val="24"/>
                          <w:sz w:val="28"/>
                          <w:szCs w:val="28"/>
                          <w:u w:val="single"/>
                        </w:rPr>
                        <w:t>д.т.н. Шадрин А.В.</w:t>
                      </w:r>
                    </w:p>
                  </w:txbxContent>
                </v:textbox>
              </v:rect>
            </w:pict>
          </mc:Fallback>
        </mc:AlternateContent>
      </w:r>
    </w:p>
    <w:p w14:paraId="0C7DE4BE" w14:textId="77777777" w:rsidR="00777D20" w:rsidRPr="00777D20" w:rsidRDefault="00777D20" w:rsidP="00777D20">
      <w:pPr>
        <w:spacing w:after="0" w:line="240" w:lineRule="auto"/>
        <w:rPr>
          <w:rFonts w:ascii="Times New Roman" w:hAnsi="Times New Roman" w:cs="Times New Roman"/>
          <w:kern w:val="2"/>
          <w:sz w:val="28"/>
          <w:szCs w:val="28"/>
          <w14:ligatures w14:val="standardContextual"/>
        </w:rPr>
      </w:pPr>
    </w:p>
    <w:p w14:paraId="54BCFCAD" w14:textId="77777777" w:rsidR="00777D20" w:rsidRPr="00777D20" w:rsidRDefault="00777D20" w:rsidP="00777D20">
      <w:pPr>
        <w:spacing w:after="0" w:line="240" w:lineRule="auto"/>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Обоснован оперативный метод определения коэффициента затухания спектральных составляющих звука, генерируемого работающим горным оборудованием в углепородный массив. При обработке натурных данных немонотонное убывание амплитуды гармоник спектра с расстоянием предложено минимизировать путем усреднения во времени в интервале, равном времени между циклами остановки горных работ. При этом, длину частотных окон линейчатого спектра сигнала рекомендуется принимать равной 200-300 Гц. </w:t>
      </w:r>
    </w:p>
    <w:p w14:paraId="713666C4" w14:textId="77777777" w:rsidR="00777D20" w:rsidRPr="00777D20" w:rsidRDefault="00777D20" w:rsidP="00777D20">
      <w:pPr>
        <w:spacing w:after="0" w:line="240" w:lineRule="auto"/>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Результаты линеаризации зависимости показаны на рисунках 1 и 2. </w:t>
      </w:r>
    </w:p>
    <w:p w14:paraId="4F1158F3" w14:textId="77777777" w:rsidR="00777D20" w:rsidRPr="00777D20" w:rsidRDefault="00777D20" w:rsidP="00777D20">
      <w:pPr>
        <w:spacing w:after="0" w:line="240" w:lineRule="auto"/>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По результатам акустического контроля напряженного состояния массива горных пород в окрестности подготовительной выработки получено выражение для определения коэффициента затухания гармоник:    </w:t>
      </w:r>
    </w:p>
    <w:p w14:paraId="678E43E8" w14:textId="77777777" w:rsidR="00777D20" w:rsidRPr="00777D20" w:rsidRDefault="00777D20" w:rsidP="00777D20">
      <w:pPr>
        <w:spacing w:after="0" w:line="240" w:lineRule="auto"/>
        <w:jc w:val="center"/>
        <w:rPr>
          <w:rFonts w:ascii="Times New Roman" w:hAnsi="Times New Roman" w:cs="Times New Roman"/>
          <w:kern w:val="2"/>
          <w:sz w:val="28"/>
          <w:szCs w:val="28"/>
          <w14:ligatures w14:val="standardContextual"/>
        </w:rPr>
      </w:pPr>
      <w:r w:rsidRPr="00777D20">
        <w:rPr>
          <w:rFonts w:ascii="Times New Roman" w:hAnsi="Times New Roman"/>
          <w:noProof/>
          <w:kern w:val="2"/>
          <w:sz w:val="24"/>
        </w:rPr>
        <w:drawing>
          <wp:inline distT="0" distB="0" distL="0" distR="0" wp14:anchorId="615BFD39" wp14:editId="210E5138">
            <wp:extent cx="2200275" cy="573476"/>
            <wp:effectExtent l="0" t="0" r="0" b="0"/>
            <wp:docPr id="29" name="Рисунок 28">
              <a:extLst xmlns:a="http://schemas.openxmlformats.org/drawingml/2006/main">
                <a:ext uri="{FF2B5EF4-FFF2-40B4-BE49-F238E27FC236}">
                  <a16:creationId xmlns:a16="http://schemas.microsoft.com/office/drawing/2014/main" id="{66F90F5B-62C5-4594-62D9-464351DB2B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8">
                      <a:extLst>
                        <a:ext uri="{FF2B5EF4-FFF2-40B4-BE49-F238E27FC236}">
                          <a16:creationId xmlns:a16="http://schemas.microsoft.com/office/drawing/2014/main" id="{66F90F5B-62C5-4594-62D9-464351DB2B15}"/>
                        </a:ext>
                      </a:extLst>
                    </pic:cNvPr>
                    <pic:cNvPicPr>
                      <a:picLocks noChangeAspect="1"/>
                    </pic:cNvPicPr>
                  </pic:nvPicPr>
                  <pic:blipFill>
                    <a:blip r:embed="rId5"/>
                    <a:stretch>
                      <a:fillRect/>
                    </a:stretch>
                  </pic:blipFill>
                  <pic:spPr>
                    <a:xfrm>
                      <a:off x="0" y="0"/>
                      <a:ext cx="2220466" cy="578739"/>
                    </a:xfrm>
                    <a:prstGeom prst="rect">
                      <a:avLst/>
                    </a:prstGeom>
                  </pic:spPr>
                </pic:pic>
              </a:graphicData>
            </a:graphic>
          </wp:inline>
        </w:drawing>
      </w:r>
      <w:r w:rsidRPr="00777D20">
        <w:rPr>
          <w:rFonts w:ascii="Times New Roman" w:hAnsi="Times New Roman" w:cs="Times New Roman"/>
          <w:kern w:val="2"/>
          <w:sz w:val="28"/>
          <w:szCs w:val="28"/>
          <w14:ligatures w14:val="standardContextual"/>
        </w:rPr>
        <w:t>,1/м,</w:t>
      </w:r>
    </w:p>
    <w:p w14:paraId="57D00F1F" w14:textId="77777777" w:rsidR="00777D20" w:rsidRPr="00777D20" w:rsidRDefault="00777D20" w:rsidP="00777D20">
      <w:pPr>
        <w:spacing w:after="0" w:line="240" w:lineRule="auto"/>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где, </w:t>
      </w:r>
      <w:r w:rsidRPr="00777D20">
        <w:rPr>
          <w:rFonts w:ascii="Times New Roman" w:hAnsi="Times New Roman" w:cs="Times New Roman"/>
          <w:kern w:val="2"/>
          <w:sz w:val="28"/>
          <w:szCs w:val="28"/>
          <w14:ligatures w14:val="standardContextual"/>
        </w:rPr>
        <w:sym w:font="Symbol" w:char="F073"/>
      </w:r>
      <w:r w:rsidRPr="00777D20">
        <w:rPr>
          <w:rFonts w:ascii="Times New Roman" w:hAnsi="Times New Roman" w:cs="Times New Roman"/>
          <w:kern w:val="2"/>
          <w:sz w:val="28"/>
          <w:szCs w:val="28"/>
          <w:vertAlign w:val="subscript"/>
          <w14:ligatures w14:val="standardContextual"/>
        </w:rPr>
        <w:t>пр</w:t>
      </w:r>
      <w:r w:rsidRPr="00777D20">
        <w:rPr>
          <w:rFonts w:ascii="Times New Roman" w:hAnsi="Times New Roman" w:cs="Times New Roman"/>
          <w:kern w:val="2"/>
          <w:sz w:val="28"/>
          <w:szCs w:val="28"/>
          <w14:ligatures w14:val="standardContextual"/>
        </w:rPr>
        <w:t xml:space="preserve"> и </w:t>
      </w:r>
      <w:r w:rsidRPr="00777D20">
        <w:rPr>
          <w:rFonts w:ascii="Times New Roman" w:hAnsi="Times New Roman" w:cs="Times New Roman"/>
          <w:kern w:val="2"/>
          <w:sz w:val="28"/>
          <w:szCs w:val="28"/>
          <w14:ligatures w14:val="standardContextual"/>
        </w:rPr>
        <w:sym w:font="Symbol" w:char="F073"/>
      </w:r>
      <w:r w:rsidRPr="00777D20">
        <w:rPr>
          <w:rFonts w:ascii="Times New Roman" w:hAnsi="Times New Roman" w:cs="Times New Roman"/>
          <w:kern w:val="2"/>
          <w:sz w:val="28"/>
          <w:szCs w:val="28"/>
          <w:vertAlign w:val="subscript"/>
          <w14:ligatures w14:val="standardContextual"/>
        </w:rPr>
        <w:t>т</w:t>
      </w:r>
      <w:r w:rsidRPr="00777D20">
        <w:rPr>
          <w:rFonts w:ascii="Times New Roman" w:hAnsi="Times New Roman" w:cs="Times New Roman"/>
          <w:kern w:val="2"/>
          <w:sz w:val="28"/>
          <w:szCs w:val="28"/>
          <w14:ligatures w14:val="standardContextual"/>
        </w:rPr>
        <w:t xml:space="preserve"> – средние соответственно предельное и текущее значения напряжений в массиве, Па; </w:t>
      </w:r>
      <w:r w:rsidRPr="00777D20">
        <w:rPr>
          <w:rFonts w:ascii="Times New Roman" w:hAnsi="Times New Roman" w:cs="Times New Roman"/>
          <w:i/>
          <w:iCs/>
          <w:kern w:val="2"/>
          <w:sz w:val="28"/>
          <w:szCs w:val="28"/>
          <w:lang w:val="en-US"/>
          <w14:ligatures w14:val="standardContextual"/>
        </w:rPr>
        <w:t>f</w:t>
      </w:r>
      <w:r w:rsidRPr="00777D20">
        <w:rPr>
          <w:rFonts w:ascii="Times New Roman" w:hAnsi="Times New Roman" w:cs="Times New Roman"/>
          <w:i/>
          <w:iCs/>
          <w:kern w:val="2"/>
          <w:sz w:val="28"/>
          <w:szCs w:val="28"/>
          <w:vertAlign w:val="subscript"/>
          <w:lang w:val="en-US"/>
          <w14:ligatures w14:val="standardContextual"/>
        </w:rPr>
        <w:t>i</w:t>
      </w:r>
      <w:r w:rsidRPr="00777D20">
        <w:rPr>
          <w:rFonts w:ascii="Times New Roman" w:hAnsi="Times New Roman" w:cs="Times New Roman"/>
          <w:i/>
          <w:iCs/>
          <w:kern w:val="2"/>
          <w:sz w:val="28"/>
          <w:szCs w:val="28"/>
          <w14:ligatures w14:val="standardContextual"/>
        </w:rPr>
        <w:t xml:space="preserve"> </w:t>
      </w:r>
      <w:r w:rsidRPr="00777D20">
        <w:rPr>
          <w:rFonts w:ascii="Times New Roman" w:hAnsi="Times New Roman" w:cs="Times New Roman"/>
          <w:kern w:val="2"/>
          <w:sz w:val="28"/>
          <w:szCs w:val="28"/>
          <w14:ligatures w14:val="standardContextual"/>
        </w:rPr>
        <w:t xml:space="preserve">– частота </w:t>
      </w:r>
      <w:r w:rsidRPr="00777D20">
        <w:rPr>
          <w:rFonts w:ascii="Times New Roman" w:hAnsi="Times New Roman" w:cs="Times New Roman"/>
          <w:i/>
          <w:iCs/>
          <w:kern w:val="2"/>
          <w:sz w:val="28"/>
          <w:szCs w:val="28"/>
          <w:lang w:val="en-US"/>
          <w14:ligatures w14:val="standardContextual"/>
        </w:rPr>
        <w:t>i</w:t>
      </w:r>
      <w:r w:rsidRPr="00777D20">
        <w:rPr>
          <w:rFonts w:ascii="Times New Roman" w:hAnsi="Times New Roman" w:cs="Times New Roman"/>
          <w:kern w:val="2"/>
          <w:sz w:val="28"/>
          <w:szCs w:val="28"/>
          <w14:ligatures w14:val="standardContextual"/>
        </w:rPr>
        <w:t>-ой гармоники, Гц.</w:t>
      </w:r>
    </w:p>
    <w:p w14:paraId="63E0EB0E" w14:textId="77777777" w:rsidR="00777D20" w:rsidRDefault="00777D20"/>
    <w:p w14:paraId="46A66D46" w14:textId="77777777" w:rsidR="00777D20" w:rsidRDefault="00777D20" w:rsidP="00777D20">
      <w:pPr>
        <w:jc w:val="center"/>
      </w:pPr>
      <w:r>
        <w:rPr>
          <w:noProof/>
        </w:rPr>
        <w:drawing>
          <wp:inline distT="0" distB="0" distL="0" distR="0" wp14:anchorId="3D4E9F32" wp14:editId="0C3E1071">
            <wp:extent cx="4494828" cy="2190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9066" cy="2197689"/>
                    </a:xfrm>
                    <a:prstGeom prst="rect">
                      <a:avLst/>
                    </a:prstGeom>
                    <a:noFill/>
                  </pic:spPr>
                </pic:pic>
              </a:graphicData>
            </a:graphic>
          </wp:inline>
        </w:drawing>
      </w:r>
    </w:p>
    <w:p w14:paraId="79BAF390" w14:textId="77777777" w:rsidR="00777D20" w:rsidRPr="00777D20" w:rsidRDefault="00777D20" w:rsidP="00777D20">
      <w:pPr>
        <w:spacing w:after="0" w:line="240" w:lineRule="auto"/>
        <w:jc w:val="center"/>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Рисунок 1 – Зависимость коэффициентов затухания от частоты на участках </w:t>
      </w:r>
      <w:proofErr w:type="gramStart"/>
      <w:r w:rsidRPr="00777D20">
        <w:rPr>
          <w:rFonts w:ascii="Times New Roman" w:hAnsi="Times New Roman" w:cs="Times New Roman"/>
          <w:kern w:val="2"/>
          <w:sz w:val="28"/>
          <w:szCs w:val="28"/>
          <w14:ligatures w14:val="standardContextual"/>
        </w:rPr>
        <w:t xml:space="preserve">между  </w:t>
      </w:r>
      <w:r w:rsidRPr="00777D20">
        <w:rPr>
          <w:rFonts w:ascii="Times New Roman" w:hAnsi="Times New Roman" w:cs="Times New Roman"/>
          <w:i/>
          <w:iCs/>
          <w:kern w:val="2"/>
          <w:sz w:val="28"/>
          <w:szCs w:val="28"/>
          <w:lang w:val="en-US"/>
          <w14:ligatures w14:val="standardContextual"/>
        </w:rPr>
        <w:t>i</w:t>
      </w:r>
      <w:proofErr w:type="gramEnd"/>
      <w:r w:rsidRPr="00777D20">
        <w:rPr>
          <w:rFonts w:ascii="Times New Roman" w:hAnsi="Times New Roman" w:cs="Times New Roman"/>
          <w:kern w:val="2"/>
          <w:sz w:val="28"/>
          <w:szCs w:val="28"/>
          <w14:ligatures w14:val="standardContextual"/>
        </w:rPr>
        <w:t xml:space="preserve">-м и 1-м сейсмоприемниками и их среднего значения </w:t>
      </w:r>
      <w:r w:rsidRPr="00777D20">
        <w:rPr>
          <w:rFonts w:ascii="Times New Roman" w:hAnsi="Times New Roman" w:cs="Times New Roman"/>
          <w:kern w:val="2"/>
          <w:sz w:val="28"/>
          <w:szCs w:val="28"/>
          <w:lang w:val="el-GR"/>
          <w14:ligatures w14:val="standardContextual"/>
        </w:rPr>
        <w:t>α</w:t>
      </w:r>
      <w:r w:rsidRPr="00777D20">
        <w:rPr>
          <w:rFonts w:ascii="Times New Roman" w:hAnsi="Times New Roman" w:cs="Times New Roman"/>
          <w:kern w:val="2"/>
          <w:sz w:val="28"/>
          <w:szCs w:val="28"/>
          <w14:ligatures w14:val="standardContextual"/>
        </w:rPr>
        <w:t>ср</w:t>
      </w:r>
    </w:p>
    <w:p w14:paraId="141ED30D" w14:textId="77777777" w:rsidR="00777D20" w:rsidRDefault="00777D20" w:rsidP="00777D20">
      <w:pPr>
        <w:jc w:val="center"/>
      </w:pPr>
    </w:p>
    <w:p w14:paraId="7D935763" w14:textId="77777777" w:rsidR="00777D20" w:rsidRDefault="00777D20" w:rsidP="00777D20">
      <w:pPr>
        <w:jc w:val="center"/>
      </w:pPr>
      <w:r>
        <w:rPr>
          <w:noProof/>
        </w:rPr>
        <w:lastRenderedPageBreak/>
        <w:drawing>
          <wp:inline distT="0" distB="0" distL="0" distR="0" wp14:anchorId="44097945" wp14:editId="3A7E2B13">
            <wp:extent cx="4094749" cy="2266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9145" cy="2269384"/>
                    </a:xfrm>
                    <a:prstGeom prst="rect">
                      <a:avLst/>
                    </a:prstGeom>
                    <a:noFill/>
                  </pic:spPr>
                </pic:pic>
              </a:graphicData>
            </a:graphic>
          </wp:inline>
        </w:drawing>
      </w:r>
    </w:p>
    <w:p w14:paraId="188C5D9D" w14:textId="77777777" w:rsidR="00777D20" w:rsidRPr="00777D20" w:rsidRDefault="00777D20" w:rsidP="00777D20">
      <w:pPr>
        <w:spacing w:after="0" w:line="240" w:lineRule="auto"/>
        <w:jc w:val="center"/>
        <w:rPr>
          <w:rFonts w:ascii="Times New Roman" w:hAnsi="Times New Roman" w:cs="Times New Roman"/>
          <w:kern w:val="2"/>
          <w:sz w:val="28"/>
          <w:szCs w:val="28"/>
          <w14:ligatures w14:val="standardContextual"/>
        </w:rPr>
      </w:pPr>
      <w:r w:rsidRPr="00777D20">
        <w:rPr>
          <w:rFonts w:ascii="Times New Roman" w:hAnsi="Times New Roman" w:cs="Times New Roman"/>
          <w:kern w:val="2"/>
          <w:sz w:val="28"/>
          <w:szCs w:val="28"/>
          <w14:ligatures w14:val="standardContextual"/>
        </w:rPr>
        <w:t xml:space="preserve">Рисунок 2 – Линеаризованная часть зависимости </w:t>
      </w:r>
      <w:r w:rsidRPr="00777D20">
        <w:rPr>
          <w:rFonts w:ascii="Times New Roman" w:hAnsi="Times New Roman" w:cs="Times New Roman"/>
          <w:kern w:val="2"/>
          <w:sz w:val="28"/>
          <w:szCs w:val="28"/>
          <w:lang w:val="el-GR"/>
          <w14:ligatures w14:val="standardContextual"/>
        </w:rPr>
        <w:t>α</w:t>
      </w:r>
      <w:r w:rsidRPr="00777D20">
        <w:rPr>
          <w:rFonts w:ascii="Times New Roman" w:hAnsi="Times New Roman" w:cs="Times New Roman"/>
          <w:kern w:val="2"/>
          <w:sz w:val="28"/>
          <w:szCs w:val="28"/>
          <w:vertAlign w:val="subscript"/>
          <w14:ligatures w14:val="standardContextual"/>
        </w:rPr>
        <w:t>ср</w:t>
      </w:r>
      <w:r w:rsidRPr="00777D20">
        <w:rPr>
          <w:rFonts w:ascii="Times New Roman" w:hAnsi="Times New Roman" w:cs="Times New Roman"/>
          <w:kern w:val="2"/>
          <w:sz w:val="28"/>
          <w:szCs w:val="28"/>
          <w14:ligatures w14:val="standardContextual"/>
        </w:rPr>
        <w:t xml:space="preserve"> от частоты</w:t>
      </w:r>
    </w:p>
    <w:p w14:paraId="5BF01232" w14:textId="77777777" w:rsidR="00777D20" w:rsidRDefault="00777D20" w:rsidP="00777D20">
      <w:pPr>
        <w:jc w:val="center"/>
      </w:pPr>
    </w:p>
    <w:p w14:paraId="23F6F0EA" w14:textId="77777777" w:rsidR="00777D20" w:rsidRPr="00777D20" w:rsidRDefault="00777D20" w:rsidP="00777D20">
      <w:pPr>
        <w:pStyle w:val="a3"/>
        <w:numPr>
          <w:ilvl w:val="0"/>
          <w:numId w:val="1"/>
        </w:numPr>
        <w:jc w:val="center"/>
        <w:rPr>
          <w:rFonts w:cs="Times New Roman"/>
          <w:color w:val="000000" w:themeColor="text1"/>
          <w:sz w:val="32"/>
          <w:szCs w:val="32"/>
        </w:rPr>
      </w:pPr>
      <w:r w:rsidRPr="00777D20">
        <w:rPr>
          <w:rFonts w:eastAsia="+mj-ea" w:cs="Times New Roman"/>
          <w:b/>
          <w:bCs/>
          <w:color w:val="000000" w:themeColor="text1"/>
          <w:kern w:val="24"/>
          <w:sz w:val="32"/>
          <w:szCs w:val="32"/>
        </w:rPr>
        <w:t xml:space="preserve">Метод оперативного определения газоносности и зоны </w:t>
      </w:r>
    </w:p>
    <w:p w14:paraId="5385184C" w14:textId="77777777" w:rsidR="00777D20" w:rsidRPr="00777D20" w:rsidRDefault="00777D20" w:rsidP="00777D20">
      <w:pPr>
        <w:pStyle w:val="a3"/>
        <w:jc w:val="center"/>
        <w:rPr>
          <w:rFonts w:cs="Times New Roman"/>
          <w:color w:val="000000" w:themeColor="text1"/>
          <w:sz w:val="32"/>
          <w:szCs w:val="32"/>
        </w:rPr>
      </w:pPr>
      <w:r w:rsidRPr="00777D20">
        <w:rPr>
          <w:rFonts w:eastAsia="+mj-ea" w:cs="Times New Roman"/>
          <w:b/>
          <w:bCs/>
          <w:color w:val="000000" w:themeColor="text1"/>
          <w:kern w:val="24"/>
          <w:sz w:val="32"/>
          <w:szCs w:val="32"/>
        </w:rPr>
        <w:t>газовой опасности угольного пласта</w:t>
      </w:r>
    </w:p>
    <w:p w14:paraId="34020CE7" w14:textId="77777777" w:rsidR="00777D20" w:rsidRDefault="00777D20" w:rsidP="00777D20">
      <w:pPr>
        <w:pStyle w:val="a3"/>
        <w:rPr>
          <w:rFonts w:cs="Times New Roman"/>
          <w:color w:val="000000" w:themeColor="text1"/>
          <w:sz w:val="28"/>
          <w:szCs w:val="28"/>
        </w:rPr>
      </w:pPr>
      <w:proofErr w:type="gramStart"/>
      <w:r w:rsidRPr="00777D20">
        <w:rPr>
          <w:rFonts w:cs="Times New Roman"/>
          <w:color w:val="000000" w:themeColor="text1"/>
          <w:sz w:val="28"/>
          <w:szCs w:val="28"/>
        </w:rPr>
        <w:t>Авторы:  к.т.н.</w:t>
      </w:r>
      <w:proofErr w:type="gramEnd"/>
      <w:r w:rsidRPr="00777D20">
        <w:rPr>
          <w:rFonts w:cs="Times New Roman"/>
          <w:color w:val="000000" w:themeColor="text1"/>
          <w:sz w:val="28"/>
          <w:szCs w:val="28"/>
        </w:rPr>
        <w:t xml:space="preserve"> Козырева Е.Н., Рябцев А.А., к.т.н. Плаксин М.С., РодинР.И.</w:t>
      </w:r>
    </w:p>
    <w:p w14:paraId="4DB5C5F8" w14:textId="77777777" w:rsidR="00777D20" w:rsidRPr="00777D20" w:rsidRDefault="00777D20" w:rsidP="00777D20">
      <w:pPr>
        <w:pStyle w:val="a3"/>
        <w:rPr>
          <w:rFonts w:cs="Times New Roman"/>
          <w:color w:val="000000" w:themeColor="text1"/>
          <w:sz w:val="32"/>
          <w:szCs w:val="32"/>
        </w:rPr>
      </w:pPr>
    </w:p>
    <w:p w14:paraId="5178A2F2" w14:textId="77777777" w:rsidR="00777D20" w:rsidRPr="00777D20" w:rsidRDefault="00777D20" w:rsidP="00777D20">
      <w:pPr>
        <w:pStyle w:val="a4"/>
        <w:spacing w:before="0" w:beforeAutospacing="0" w:after="0" w:afterAutospacing="0"/>
        <w:ind w:firstLine="432"/>
        <w:rPr>
          <w:color w:val="000000" w:themeColor="text1"/>
          <w:sz w:val="28"/>
          <w:szCs w:val="28"/>
        </w:rPr>
      </w:pPr>
      <w:r w:rsidRPr="00777D20">
        <w:rPr>
          <w:rFonts w:eastAsia="+mn-ea"/>
          <w:color w:val="000000" w:themeColor="text1"/>
          <w:kern w:val="24"/>
          <w:sz w:val="28"/>
          <w:szCs w:val="28"/>
        </w:rPr>
        <w:t xml:space="preserve">Разработан комплексный метод определения газоносности угольного пласта без «упущенного» газа для расчета безопасных по газовому фактору технологических параметров при проведении подготовительных забоев. На этапе шахтных экспериментов применяется специальное техническое устройство (патент РФ на изобретение № 2768245) для отбора проб в изолируемом от атмосферы выработки режиме с измерением газокинетических параметров разрушаемого угля. Этап лабораторных исследований основывается на ступенчатых выпусках газа из проб с получением до 25 показателей, отражающих склонность пласта к возникновению опасности по газовому и газодинамическому факторам. </w:t>
      </w:r>
    </w:p>
    <w:p w14:paraId="1C0FEE51" w14:textId="77777777" w:rsidR="00777D20" w:rsidRPr="00777D20" w:rsidRDefault="00777D20" w:rsidP="00777D20">
      <w:pPr>
        <w:pStyle w:val="a4"/>
        <w:spacing w:before="0" w:beforeAutospacing="0" w:after="0" w:afterAutospacing="0"/>
        <w:ind w:firstLine="432"/>
        <w:rPr>
          <w:color w:val="000000" w:themeColor="text1"/>
          <w:sz w:val="28"/>
          <w:szCs w:val="28"/>
        </w:rPr>
      </w:pPr>
      <w:r w:rsidRPr="00777D20">
        <w:rPr>
          <w:rFonts w:eastAsia="+mn-ea"/>
          <w:color w:val="000000" w:themeColor="text1"/>
          <w:kern w:val="24"/>
          <w:sz w:val="28"/>
          <w:szCs w:val="28"/>
        </w:rPr>
        <w:t xml:space="preserve">Метод позволяет определять границы зоны газовой опасности в зависимости от глубины заходки комбайна </w:t>
      </w:r>
      <w:r w:rsidRPr="00777D20">
        <w:rPr>
          <w:rFonts w:eastAsia="+mn-ea"/>
          <w:i/>
          <w:iCs/>
          <w:color w:val="000000" w:themeColor="text1"/>
          <w:kern w:val="24"/>
          <w:sz w:val="28"/>
          <w:szCs w:val="28"/>
          <w:lang w:val="en-US"/>
        </w:rPr>
        <w:t>l</w:t>
      </w:r>
      <w:r w:rsidRPr="00777D20">
        <w:rPr>
          <w:rFonts w:eastAsia="+mn-ea"/>
          <w:color w:val="000000" w:themeColor="text1"/>
          <w:kern w:val="24"/>
          <w:position w:val="-8"/>
          <w:sz w:val="28"/>
          <w:szCs w:val="28"/>
          <w:vertAlign w:val="subscript"/>
        </w:rPr>
        <w:t>з</w:t>
      </w:r>
      <w:r w:rsidRPr="00777D20">
        <w:rPr>
          <w:rFonts w:eastAsia="+mn-ea"/>
          <w:color w:val="000000" w:themeColor="text1"/>
          <w:kern w:val="24"/>
          <w:sz w:val="28"/>
          <w:szCs w:val="28"/>
        </w:rPr>
        <w:t xml:space="preserve">. Разработан показатель </w:t>
      </w:r>
      <w:r w:rsidRPr="00777D20">
        <w:rPr>
          <w:rFonts w:eastAsia="+mn-ea"/>
          <w:i/>
          <w:iCs/>
          <w:color w:val="000000" w:themeColor="text1"/>
          <w:kern w:val="24"/>
          <w:sz w:val="28"/>
          <w:szCs w:val="28"/>
          <w:lang w:val="en-US"/>
        </w:rPr>
        <w:t>Lz</w:t>
      </w:r>
      <w:r w:rsidRPr="00777D20">
        <w:rPr>
          <w:rFonts w:eastAsia="+mn-ea"/>
          <w:color w:val="000000" w:themeColor="text1"/>
          <w:kern w:val="24"/>
          <w:sz w:val="28"/>
          <w:szCs w:val="28"/>
        </w:rPr>
        <w:t>, определяющий расположение зоны высокой газовой энергии относительно забоя подготовительной выработки и отражающий положение равенства препятствующих и активных сил инициализации внезапного выброса.</w:t>
      </w:r>
    </w:p>
    <w:p w14:paraId="2A364915" w14:textId="77777777" w:rsidR="00777D20" w:rsidRDefault="00777D20" w:rsidP="00777D20">
      <w:pPr>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lastRenderedPageBreak/>
        <w:drawing>
          <wp:inline distT="0" distB="0" distL="0" distR="0" wp14:anchorId="15475E08" wp14:editId="6DEF227C">
            <wp:extent cx="6009445" cy="440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899" cy="4413331"/>
                    </a:xfrm>
                    <a:prstGeom prst="rect">
                      <a:avLst/>
                    </a:prstGeom>
                    <a:noFill/>
                  </pic:spPr>
                </pic:pic>
              </a:graphicData>
            </a:graphic>
          </wp:inline>
        </w:drawing>
      </w:r>
    </w:p>
    <w:p w14:paraId="7F9E722F" w14:textId="77777777" w:rsidR="00777D20" w:rsidRDefault="00777D20" w:rsidP="00777D20">
      <w:pPr>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inline distT="0" distB="0" distL="0" distR="0" wp14:anchorId="0A0AD720" wp14:editId="5CEBA5A3">
            <wp:extent cx="6121276" cy="1343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33063" cy="1345611"/>
                    </a:xfrm>
                    <a:prstGeom prst="rect">
                      <a:avLst/>
                    </a:prstGeom>
                    <a:noFill/>
                  </pic:spPr>
                </pic:pic>
              </a:graphicData>
            </a:graphic>
          </wp:inline>
        </w:drawing>
      </w:r>
    </w:p>
    <w:p w14:paraId="7C8F60D1" w14:textId="77777777" w:rsidR="00777D20" w:rsidRPr="00777D20" w:rsidRDefault="00777D20" w:rsidP="00777D20">
      <w:pPr>
        <w:spacing w:after="0" w:line="240" w:lineRule="auto"/>
        <w:jc w:val="center"/>
        <w:rPr>
          <w:rFonts w:ascii="Times New Roman" w:eastAsia="Times New Roman" w:hAnsi="Times New Roman" w:cs="Times New Roman"/>
          <w:color w:val="000000" w:themeColor="text1"/>
          <w:sz w:val="28"/>
          <w:szCs w:val="28"/>
          <w:lang w:eastAsia="ru-RU"/>
        </w:rPr>
      </w:pPr>
      <w:r w:rsidRPr="00777D20">
        <w:rPr>
          <w:rFonts w:ascii="Times New Roman" w:eastAsiaTheme="minorEastAsia" w:hAnsi="Times New Roman" w:cs="Times New Roman"/>
          <w:color w:val="000000" w:themeColor="text1"/>
          <w:kern w:val="24"/>
          <w:sz w:val="28"/>
          <w:szCs w:val="28"/>
          <w:lang w:eastAsia="ru-RU"/>
        </w:rPr>
        <w:t xml:space="preserve">Рисунок </w:t>
      </w:r>
      <w:r w:rsidRPr="0039263C">
        <w:rPr>
          <w:rFonts w:ascii="Times New Roman" w:eastAsiaTheme="minorEastAsia" w:hAnsi="Times New Roman" w:cs="Times New Roman"/>
          <w:color w:val="000000" w:themeColor="text1"/>
          <w:kern w:val="24"/>
          <w:sz w:val="28"/>
          <w:szCs w:val="28"/>
          <w:lang w:eastAsia="ru-RU"/>
        </w:rPr>
        <w:t>2.1</w:t>
      </w:r>
      <w:r w:rsidRPr="00777D20">
        <w:rPr>
          <w:rFonts w:ascii="Times New Roman" w:eastAsiaTheme="minorEastAsia" w:hAnsi="Times New Roman" w:cs="Times New Roman"/>
          <w:color w:val="000000" w:themeColor="text1"/>
          <w:kern w:val="24"/>
          <w:sz w:val="28"/>
          <w:szCs w:val="28"/>
          <w:lang w:eastAsia="ru-RU"/>
        </w:rPr>
        <w:t xml:space="preserve"> – Схема к определению границ опасной по газовому фактору зоны относительно подвигания забоя подготовительной выработки</w:t>
      </w:r>
    </w:p>
    <w:p w14:paraId="238239EC" w14:textId="77777777" w:rsidR="00777D20" w:rsidRPr="00777D20" w:rsidRDefault="00777D20" w:rsidP="00777D20">
      <w:pPr>
        <w:jc w:val="center"/>
        <w:rPr>
          <w:rFonts w:ascii="Times New Roman" w:hAnsi="Times New Roman" w:cs="Times New Roman"/>
          <w:color w:val="000000" w:themeColor="text1"/>
          <w:sz w:val="28"/>
          <w:szCs w:val="28"/>
        </w:rPr>
      </w:pPr>
    </w:p>
    <w:sectPr w:rsidR="00777D20" w:rsidRPr="00777D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mj-ea">
    <w:panose1 w:val="00000000000000000000"/>
    <w:charset w:val="00"/>
    <w:family w:val="roman"/>
    <w:notTrueType/>
    <w:pitch w:val="default"/>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1042A"/>
    <w:multiLevelType w:val="hybridMultilevel"/>
    <w:tmpl w:val="4866BE2A"/>
    <w:lvl w:ilvl="0" w:tplc="0E30C6C6">
      <w:start w:val="1"/>
      <w:numFmt w:val="decimal"/>
      <w:lvlText w:val="%1."/>
      <w:lvlJc w:val="left"/>
      <w:pPr>
        <w:ind w:left="720" w:hanging="360"/>
      </w:pPr>
      <w:rPr>
        <w:rFonts w:asciiTheme="minorHAnsi" w:eastAsiaTheme="minorEastAsia" w:hAnsi="Calibri" w:cstheme="minorBidi" w:hint="default"/>
        <w:b/>
        <w:color w:val="16347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20"/>
    <w:rsid w:val="0032670B"/>
    <w:rsid w:val="0039263C"/>
    <w:rsid w:val="00777D20"/>
    <w:rsid w:val="00AE64A7"/>
    <w:rsid w:val="00D92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F6BE"/>
  <w15:chartTrackingRefBased/>
  <w15:docId w15:val="{313E8960-88E2-4540-87C0-28EFAB28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7D20"/>
    <w:pPr>
      <w:spacing w:after="0" w:line="240" w:lineRule="auto"/>
      <w:ind w:left="720"/>
      <w:contextualSpacing/>
    </w:pPr>
    <w:rPr>
      <w:rFonts w:ascii="Times New Roman" w:hAnsi="Times New Roman"/>
      <w:kern w:val="2"/>
      <w:sz w:val="24"/>
      <w14:ligatures w14:val="standardContextual"/>
    </w:rPr>
  </w:style>
  <w:style w:type="paragraph" w:styleId="a4">
    <w:name w:val="Normal (Web)"/>
    <w:basedOn w:val="a"/>
    <w:uiPriority w:val="99"/>
    <w:semiHidden/>
    <w:unhideWhenUsed/>
    <w:rsid w:val="00777D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220860">
      <w:bodyDiv w:val="1"/>
      <w:marLeft w:val="0"/>
      <w:marRight w:val="0"/>
      <w:marTop w:val="0"/>
      <w:marBottom w:val="0"/>
      <w:divBdr>
        <w:top w:val="none" w:sz="0" w:space="0" w:color="auto"/>
        <w:left w:val="none" w:sz="0" w:space="0" w:color="auto"/>
        <w:bottom w:val="none" w:sz="0" w:space="0" w:color="auto"/>
        <w:right w:val="none" w:sz="0" w:space="0" w:color="auto"/>
      </w:divBdr>
    </w:div>
    <w:div w:id="1507360076">
      <w:bodyDiv w:val="1"/>
      <w:marLeft w:val="0"/>
      <w:marRight w:val="0"/>
      <w:marTop w:val="0"/>
      <w:marBottom w:val="0"/>
      <w:divBdr>
        <w:top w:val="none" w:sz="0" w:space="0" w:color="auto"/>
        <w:left w:val="none" w:sz="0" w:space="0" w:color="auto"/>
        <w:bottom w:val="none" w:sz="0" w:space="0" w:color="auto"/>
        <w:right w:val="none" w:sz="0" w:space="0" w:color="auto"/>
      </w:divBdr>
    </w:div>
    <w:div w:id="1630355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2026-03-04T04:21:00Z</dcterms:created>
  <dcterms:modified xsi:type="dcterms:W3CDTF">2026-03-06T02:24:00Z</dcterms:modified>
</cp:coreProperties>
</file>